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80"/>
        <w:spacing w:after="0"/>
        <w:rPr>
          <w:sz w:val="20"/>
          <w:szCs w:val="20"/>
          <w:color w:val="auto"/>
        </w:rPr>
      </w:pPr>
      <w:r>
        <w:rPr>
          <w:rFonts w:ascii="Arial" w:cs="Arial" w:eastAsia="Arial" w:hAnsi="Arial"/>
          <w:sz w:val="18"/>
          <w:szCs w:val="18"/>
          <w:color w:val="auto"/>
        </w:rPr>
        <w:t>For the month of November, 2016</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16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16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447040</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6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November 1, 2016</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300" w:type="dxa"/>
            <w:vAlign w:val="bottom"/>
          </w:tcPr>
          <w:p>
            <w:pPr>
              <w:ind w:left="5720"/>
              <w:spacing w:after="0"/>
              <w:rPr>
                <w:sz w:val="20"/>
                <w:szCs w:val="20"/>
                <w:color w:val="auto"/>
              </w:rPr>
            </w:pPr>
            <w:r>
              <w:rPr>
                <w:rFonts w:ascii="Arial" w:cs="Arial" w:eastAsia="Arial" w:hAnsi="Arial"/>
                <w:sz w:val="18"/>
                <w:szCs w:val="18"/>
                <w:color w:val="auto"/>
              </w:rPr>
              <w:t>By:</w:t>
            </w:r>
          </w:p>
        </w:tc>
        <w:tc>
          <w:tcPr>
            <w:tcW w:w="5120" w:type="dxa"/>
            <w:vAlign w:val="bottom"/>
          </w:tcPr>
          <w:p>
            <w:pPr>
              <w:ind w:left="100"/>
              <w:spacing w:after="0"/>
              <w:rPr>
                <w:sz w:val="20"/>
                <w:szCs w:val="20"/>
                <w:color w:val="auto"/>
              </w:rPr>
            </w:pPr>
            <w:r>
              <w:rPr>
                <w:rFonts w:ascii="Arial" w:cs="Arial" w:eastAsia="Arial" w:hAnsi="Arial"/>
                <w:sz w:val="18"/>
                <w:szCs w:val="18"/>
                <w:color w:val="auto"/>
              </w:rPr>
              <w:t>/s/ Pierre Dulin</w:t>
            </w:r>
          </w:p>
        </w:tc>
      </w:tr>
      <w:tr>
        <w:trPr>
          <w:trHeight w:val="418"/>
        </w:trPr>
        <w:tc>
          <w:tcPr>
            <w:tcW w:w="6300" w:type="dxa"/>
            <w:vAlign w:val="bottom"/>
          </w:tcPr>
          <w:p>
            <w:pPr>
              <w:ind w:left="5720"/>
              <w:spacing w:after="0"/>
              <w:rPr>
                <w:sz w:val="20"/>
                <w:szCs w:val="20"/>
                <w:color w:val="auto"/>
              </w:rPr>
            </w:pPr>
            <w:r>
              <w:rPr>
                <w:rFonts w:ascii="Arial" w:cs="Arial" w:eastAsia="Arial" w:hAnsi="Arial"/>
                <w:sz w:val="18"/>
                <w:szCs w:val="18"/>
                <w:color w:val="auto"/>
              </w:rPr>
              <w:t>Name:</w:t>
            </w:r>
          </w:p>
        </w:tc>
        <w:tc>
          <w:tcPr>
            <w:tcW w:w="5120" w:type="dxa"/>
            <w:vAlign w:val="bottom"/>
          </w:tcPr>
          <w:p>
            <w:pPr>
              <w:ind w:left="100"/>
              <w:spacing w:after="0"/>
              <w:rPr>
                <w:sz w:val="20"/>
                <w:szCs w:val="20"/>
                <w:color w:val="auto"/>
              </w:rPr>
            </w:pPr>
            <w:r>
              <w:rPr>
                <w:rFonts w:ascii="Arial" w:cs="Arial" w:eastAsia="Arial" w:hAnsi="Arial"/>
                <w:sz w:val="18"/>
                <w:szCs w:val="18"/>
                <w:color w:val="auto"/>
              </w:rPr>
              <w:t>Pierre Dulin</w:t>
            </w:r>
          </w:p>
        </w:tc>
      </w:tr>
      <w:tr>
        <w:trPr>
          <w:trHeight w:val="230"/>
        </w:trPr>
        <w:tc>
          <w:tcPr>
            <w:tcW w:w="6300" w:type="dxa"/>
            <w:vAlign w:val="bottom"/>
          </w:tcPr>
          <w:p>
            <w:pPr>
              <w:ind w:left="5720"/>
              <w:spacing w:after="0"/>
              <w:rPr>
                <w:sz w:val="20"/>
                <w:szCs w:val="20"/>
                <w:color w:val="auto"/>
              </w:rPr>
            </w:pPr>
            <w:r>
              <w:rPr>
                <w:rFonts w:ascii="Arial" w:cs="Arial" w:eastAsia="Arial" w:hAnsi="Arial"/>
                <w:sz w:val="18"/>
                <w:szCs w:val="18"/>
                <w:color w:val="auto"/>
              </w:rPr>
              <w:t>Title:</w:t>
            </w:r>
          </w:p>
        </w:tc>
        <w:tc>
          <w:tcPr>
            <w:tcW w:w="5120" w:type="dxa"/>
            <w:vAlign w:val="bottom"/>
          </w:tcPr>
          <w:p>
            <w:pPr>
              <w:ind w:left="100"/>
              <w:spacing w:after="0"/>
              <w:rPr>
                <w:sz w:val="20"/>
                <w:szCs w:val="20"/>
                <w:color w:val="auto"/>
              </w:rPr>
            </w:pPr>
            <w:r>
              <w:rPr>
                <w:rFonts w:ascii="Arial" w:cs="Arial" w:eastAsia="Arial" w:hAnsi="Arial"/>
                <w:sz w:val="18"/>
                <w:szCs w:val="18"/>
                <w:color w:val="auto"/>
              </w:rPr>
              <w:t>General Manager</w:t>
            </w:r>
          </w:p>
        </w:tc>
      </w:tr>
      <w:tr>
        <w:trPr>
          <w:trHeight w:val="648"/>
        </w:trPr>
        <w:tc>
          <w:tcPr>
            <w:tcW w:w="630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de Comercio Exterior, S.A.</w:t>
      </w:r>
    </w:p>
    <w:p>
      <w:pPr>
        <w:ind w:left="18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jc w:val="both"/>
        <w:ind w:left="660"/>
        <w:spacing w:after="0" w:line="259" w:lineRule="auto"/>
        <w:rPr>
          <w:sz w:val="20"/>
          <w:szCs w:val="20"/>
          <w:color w:val="auto"/>
        </w:rPr>
      </w:pPr>
      <w:r>
        <w:rPr>
          <w:rFonts w:ascii="Arial" w:cs="Arial" w:eastAsia="Arial" w:hAnsi="Arial"/>
          <w:sz w:val="18"/>
          <w:szCs w:val="18"/>
          <w:color w:val="auto"/>
        </w:rPr>
        <w:t>Unaudited condensed consolidated interim statement of financial position as of September 30, 2016 and December 31, 2015, and related unaudited condensed consolidated interim statements of profit or loss, unaudited condensed consolidated interim statements of profit or loss and other comprehensive income, unaudited condensed consolidated interim statements of changes in equity and unaudited condensed consolidated interim statements of cash flows for the nine months ended September 30, 2016 and 2015.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401955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82" w:right="239" w:bottom="1440" w:gutter="0" w:footer="0" w:header="0"/>
        </w:sectPr>
      </w:pPr>
    </w:p>
    <w:bookmarkStart w:id="3" w:name="page4"/>
    <w:bookmarkEnd w:id="3"/>
    <w:p>
      <w:pPr>
        <w:spacing w:after="0"/>
        <w:rPr>
          <w:sz w:val="20"/>
          <w:szCs w:val="20"/>
          <w:color w:val="auto"/>
        </w:rPr>
      </w:pPr>
      <w:r>
        <w:rPr>
          <w:rFonts w:ascii="Arial" w:cs="Arial" w:eastAsia="Arial" w:hAnsi="Arial"/>
          <w:sz w:val="22"/>
          <w:szCs w:val="22"/>
          <w:b w:val="1"/>
          <w:bCs w:val="1"/>
          <w:color w:val="auto"/>
        </w:rPr>
        <w:t>Banco Latinoamericano de Comercio Exterior, S.A. and Subsidiaries</w:t>
      </w:r>
    </w:p>
    <w:p>
      <w:pPr>
        <w:spacing w:after="0" w:line="21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9120" w:type="dxa"/>
            <w:vAlign w:val="bottom"/>
            <w:gridSpan w:val="7"/>
          </w:tcPr>
          <w:p>
            <w:pPr>
              <w:spacing w:after="0"/>
              <w:rPr>
                <w:sz w:val="20"/>
                <w:szCs w:val="20"/>
                <w:color w:val="auto"/>
              </w:rPr>
            </w:pPr>
            <w:r>
              <w:rPr>
                <w:rFonts w:ascii="Arial" w:cs="Arial" w:eastAsia="Arial" w:hAnsi="Arial"/>
                <w:sz w:val="18"/>
                <w:szCs w:val="18"/>
                <w:b w:val="1"/>
                <w:bCs w:val="1"/>
                <w:color w:val="auto"/>
              </w:rPr>
              <w:t>Unaudited condensed consolidated interim financial statements</w:t>
            </w:r>
          </w:p>
        </w:tc>
        <w:tc>
          <w:tcPr>
            <w:tcW w:w="23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912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2300" w:type="dxa"/>
            <w:vAlign w:val="bottom"/>
          </w:tcPr>
          <w:p>
            <w:pPr>
              <w:ind w:left="162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23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100" w:type="dxa"/>
            <w:vAlign w:val="bottom"/>
            <w:gridSpan w:val="6"/>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statements of financial position</w:t>
              </w:r>
            </w:hyperlink>
          </w:p>
        </w:tc>
        <w:tc>
          <w:tcPr>
            <w:tcW w:w="2300" w:type="dxa"/>
            <w:vAlign w:val="bottom"/>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9"/>
              </w:rPr>
              <w:t>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6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100" w:type="dxa"/>
            <w:vAlign w:val="bottom"/>
            <w:gridSpan w:val="6"/>
            <w:shd w:val="clear" w:color="auto" w:fill="CCEEFF"/>
          </w:tcPr>
          <w:p>
            <w:pPr>
              <w:spacing w:after="0" w:line="176" w:lineRule="exact"/>
              <w:rPr>
                <w:rFonts w:ascii="Arial" w:cs="Arial" w:eastAsia="Arial" w:hAnsi="Arial"/>
                <w:sz w:val="18"/>
                <w:szCs w:val="18"/>
                <w:color w:val="0000EE"/>
              </w:rPr>
            </w:pPr>
            <w:hyperlink w:anchor="page6">
              <w:r>
                <w:rPr>
                  <w:rFonts w:ascii="Arial" w:cs="Arial" w:eastAsia="Arial" w:hAnsi="Arial"/>
                  <w:sz w:val="18"/>
                  <w:szCs w:val="18"/>
                  <w:color w:val="0000EE"/>
                </w:rPr>
                <w:t>Unaudited condensed consolidated interim statements of profit or loss</w:t>
              </w:r>
            </w:hyperlink>
          </w:p>
        </w:tc>
        <w:tc>
          <w:tcPr>
            <w:tcW w:w="2300" w:type="dxa"/>
            <w:vAlign w:val="bottom"/>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9"/>
              </w:rPr>
              <w:t>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6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100" w:type="dxa"/>
            <w:vAlign w:val="bottom"/>
            <w:gridSpan w:val="6"/>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Unaudited condensed consolidated interim statements of profit or loss and other comprehensive income</w:t>
              </w:r>
            </w:hyperlink>
          </w:p>
        </w:tc>
        <w:tc>
          <w:tcPr>
            <w:tcW w:w="2300" w:type="dxa"/>
            <w:vAlign w:val="bottom"/>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9"/>
              </w:rPr>
              <w:t>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0000EE"/>
            </w:tcBorders>
          </w:tcPr>
          <w:p>
            <w:pPr>
              <w:spacing w:after="0"/>
              <w:rPr>
                <w:sz w:val="18"/>
                <w:szCs w:val="18"/>
                <w:color w:val="auto"/>
              </w:rPr>
            </w:pPr>
          </w:p>
        </w:tc>
        <w:tc>
          <w:tcPr>
            <w:tcW w:w="2040" w:type="dxa"/>
            <w:vAlign w:val="bottom"/>
            <w:tcBorders>
              <w:top w:val="single" w:sz="8" w:color="0000EE"/>
            </w:tcBorders>
          </w:tcPr>
          <w:p>
            <w:pPr>
              <w:spacing w:after="0"/>
              <w:rPr>
                <w:sz w:val="18"/>
                <w:szCs w:val="18"/>
                <w:color w:val="auto"/>
              </w:rPr>
            </w:pPr>
          </w:p>
        </w:tc>
        <w:tc>
          <w:tcPr>
            <w:tcW w:w="16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100" w:type="dxa"/>
            <w:vAlign w:val="bottom"/>
            <w:gridSpan w:val="6"/>
            <w:shd w:val="clear" w:color="auto" w:fill="CCEEFF"/>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statements of changes in equity</w:t>
              </w:r>
            </w:hyperlink>
          </w:p>
        </w:tc>
        <w:tc>
          <w:tcPr>
            <w:tcW w:w="2300" w:type="dxa"/>
            <w:vAlign w:val="bottom"/>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9"/>
              </w:rPr>
              <w:t>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0000EE"/>
            </w:tcBorders>
          </w:tcPr>
          <w:p>
            <w:pPr>
              <w:spacing w:after="0"/>
              <w:rPr>
                <w:sz w:val="18"/>
                <w:szCs w:val="18"/>
                <w:color w:val="auto"/>
              </w:rPr>
            </w:pPr>
          </w:p>
        </w:tc>
        <w:tc>
          <w:tcPr>
            <w:tcW w:w="340" w:type="dxa"/>
            <w:vAlign w:val="bottom"/>
            <w:tcBorders>
              <w:top w:val="single" w:sz="8" w:color="0000EE"/>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6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9100" w:type="dxa"/>
            <w:vAlign w:val="bottom"/>
            <w:gridSpan w:val="6"/>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Unaudited condensed consolidated interim statements of cash flows</w:t>
              </w:r>
            </w:hyperlink>
          </w:p>
        </w:tc>
        <w:tc>
          <w:tcPr>
            <w:tcW w:w="2300" w:type="dxa"/>
            <w:vAlign w:val="bottom"/>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9"/>
              </w:rPr>
              <w:t>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880" w:type="dxa"/>
            <w:vAlign w:val="bottom"/>
            <w:tcBorders>
              <w:top w:val="single" w:sz="8" w:color="0000EE"/>
            </w:tcBorders>
          </w:tcPr>
          <w:p>
            <w:pPr>
              <w:spacing w:after="0"/>
              <w:rPr>
                <w:sz w:val="18"/>
                <w:szCs w:val="18"/>
                <w:color w:val="auto"/>
              </w:rPr>
            </w:pPr>
          </w:p>
        </w:tc>
        <w:tc>
          <w:tcPr>
            <w:tcW w:w="14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60" w:type="dxa"/>
            <w:vAlign w:val="bottom"/>
            <w:tcBorders>
              <w:top w:val="single" w:sz="8" w:color="CCEEFF"/>
            </w:tcBorders>
          </w:tcPr>
          <w:p>
            <w:pPr>
              <w:spacing w:after="0"/>
              <w:rPr>
                <w:sz w:val="18"/>
                <w:szCs w:val="18"/>
                <w:color w:val="auto"/>
              </w:rPr>
            </w:pPr>
          </w:p>
        </w:tc>
        <w:tc>
          <w:tcPr>
            <w:tcW w:w="2040" w:type="dxa"/>
            <w:vAlign w:val="bottom"/>
            <w:tcBorders>
              <w:top w:val="single" w:sz="8" w:color="CCEEFF"/>
            </w:tcBorders>
          </w:tcPr>
          <w:p>
            <w:pPr>
              <w:spacing w:after="0"/>
              <w:rPr>
                <w:sz w:val="18"/>
                <w:szCs w:val="18"/>
                <w:color w:val="auto"/>
              </w:rPr>
            </w:pPr>
          </w:p>
        </w:tc>
        <w:tc>
          <w:tcPr>
            <w:tcW w:w="1640" w:type="dxa"/>
            <w:vAlign w:val="bottom"/>
            <w:tcBorders>
              <w:top w:val="single" w:sz="8" w:color="CCEEFF"/>
            </w:tcBorders>
          </w:tcPr>
          <w:p>
            <w:pPr>
              <w:spacing w:after="0"/>
              <w:rPr>
                <w:sz w:val="18"/>
                <w:szCs w:val="18"/>
                <w:color w:val="auto"/>
              </w:rPr>
            </w:pPr>
          </w:p>
        </w:tc>
        <w:tc>
          <w:tcPr>
            <w:tcW w:w="230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Borders>
              <w:bottom w:val="single" w:sz="8" w:color="0000EE"/>
            </w:tcBorders>
            <w:gridSpan w:val="4"/>
            <w:shd w:val="clear" w:color="auto" w:fill="CCEEFF"/>
          </w:tcPr>
          <w:p>
            <w:pPr>
              <w:spacing w:after="0" w:line="176" w:lineRule="exact"/>
              <w:rPr>
                <w:rFonts w:ascii="Arial" w:cs="Arial" w:eastAsia="Arial" w:hAnsi="Arial"/>
                <w:sz w:val="18"/>
                <w:szCs w:val="18"/>
                <w:color w:val="0000EE"/>
                <w:w w:val="89"/>
              </w:rPr>
            </w:pPr>
            <w:hyperlink w:anchor="page10">
              <w:r>
                <w:rPr>
                  <w:rFonts w:ascii="Arial" w:cs="Arial" w:eastAsia="Arial" w:hAnsi="Arial"/>
                  <w:sz w:val="18"/>
                  <w:szCs w:val="18"/>
                  <w:color w:val="0000EE"/>
                  <w:w w:val="89"/>
                </w:rPr>
                <w:t>Notes to the unaudited condensed consolidated interim financial statements</w:t>
              </w:r>
            </w:hyperlink>
          </w:p>
        </w:tc>
        <w:tc>
          <w:tcPr>
            <w:tcW w:w="3680" w:type="dxa"/>
            <w:vAlign w:val="bottom"/>
            <w:tcBorders>
              <w:bottom w:val="single" w:sz="8" w:color="CCEEFF"/>
            </w:tcBorders>
            <w:gridSpan w:val="2"/>
            <w:shd w:val="clear" w:color="auto" w:fill="CCEEFF"/>
          </w:tcPr>
          <w:p>
            <w:pPr>
              <w:spacing w:after="0"/>
              <w:rPr>
                <w:sz w:val="17"/>
                <w:szCs w:val="17"/>
                <w:color w:val="auto"/>
              </w:rPr>
            </w:pPr>
          </w:p>
        </w:tc>
        <w:tc>
          <w:tcPr>
            <w:tcW w:w="2300" w:type="dxa"/>
            <w:vAlign w:val="bottom"/>
            <w:tcBorders>
              <w:bottom w:val="single" w:sz="8" w:color="CCEEFF"/>
            </w:tcBorders>
            <w:shd w:val="clear" w:color="auto" w:fill="CCEEFF"/>
          </w:tcPr>
          <w:p>
            <w:pPr>
              <w:jc w:val="center"/>
              <w:ind w:left="1310"/>
              <w:spacing w:after="0" w:line="176" w:lineRule="exact"/>
              <w:rPr>
                <w:sz w:val="20"/>
                <w:szCs w:val="20"/>
                <w:color w:val="auto"/>
              </w:rPr>
            </w:pPr>
            <w:r>
              <w:rPr>
                <w:rFonts w:ascii="Arial" w:cs="Arial" w:eastAsia="Arial" w:hAnsi="Arial"/>
                <w:sz w:val="18"/>
                <w:szCs w:val="18"/>
                <w:color w:val="auto"/>
                <w:w w:val="94"/>
              </w:rPr>
              <w:t>8-69</w:t>
            </w: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7460" w:type="dxa"/>
            <w:vAlign w:val="bottom"/>
            <w:tcBorders>
              <w:bottom w:val="single" w:sz="8" w:color="auto"/>
            </w:tcBorders>
            <w:gridSpan w:val="5"/>
          </w:tcPr>
          <w:p>
            <w:pPr>
              <w:jc w:val="right"/>
              <w:ind w:right="1700"/>
              <w:spacing w:after="0"/>
              <w:rPr>
                <w:sz w:val="20"/>
                <w:szCs w:val="20"/>
                <w:color w:val="auto"/>
              </w:rPr>
            </w:pPr>
            <w:r>
              <w:rPr>
                <w:rFonts w:ascii="Arial" w:cs="Arial" w:eastAsia="Arial" w:hAnsi="Arial"/>
                <w:sz w:val="18"/>
                <w:szCs w:val="18"/>
                <w:color w:val="auto"/>
              </w:rPr>
              <w:t>2</w:t>
            </w:r>
          </w:p>
        </w:tc>
        <w:tc>
          <w:tcPr>
            <w:tcW w:w="164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5" w:right="239" w:bottom="1440" w:gutter="0" w:footer="0" w:header="0"/>
        </w:sectPr>
      </w:pPr>
    </w:p>
    <w:bookmarkStart w:id="4" w:name="page5"/>
    <w:bookmarkEnd w:id="4"/>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 of financial position</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2016 and December 31,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6300" w:type="dxa"/>
            <w:vAlign w:val="bottom"/>
          </w:tcPr>
          <w:p>
            <w:pPr>
              <w:spacing w:after="0"/>
              <w:rPr>
                <w:sz w:val="19"/>
                <w:szCs w:val="19"/>
                <w:color w:val="auto"/>
              </w:rPr>
            </w:pPr>
          </w:p>
        </w:tc>
        <w:tc>
          <w:tcPr>
            <w:tcW w:w="1820" w:type="dxa"/>
            <w:vAlign w:val="bottom"/>
          </w:tcPr>
          <w:p>
            <w:pPr>
              <w:spacing w:after="0"/>
              <w:rPr>
                <w:sz w:val="19"/>
                <w:szCs w:val="19"/>
                <w:color w:val="auto"/>
              </w:rPr>
            </w:pPr>
          </w:p>
        </w:tc>
        <w:tc>
          <w:tcPr>
            <w:tcW w:w="17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September 30,</w:t>
            </w:r>
          </w:p>
        </w:tc>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300" w:type="dxa"/>
            <w:vAlign w:val="bottom"/>
            <w:tcBorders>
              <w:bottom w:val="single" w:sz="8" w:color="CCEEFF"/>
            </w:tcBorders>
          </w:tcPr>
          <w:p>
            <w:pPr>
              <w:spacing w:after="0"/>
              <w:rPr>
                <w:sz w:val="20"/>
                <w:szCs w:val="20"/>
                <w:color w:val="auto"/>
              </w:rPr>
            </w:pPr>
          </w:p>
        </w:tc>
        <w:tc>
          <w:tcPr>
            <w:tcW w:w="1820" w:type="dxa"/>
            <w:vAlign w:val="bottom"/>
            <w:tcBorders>
              <w:bottom w:val="single" w:sz="8" w:color="CCEEFF"/>
            </w:tcBorders>
          </w:tcPr>
          <w:p>
            <w:pPr>
              <w:ind w:left="900"/>
              <w:spacing w:after="0"/>
              <w:rPr>
                <w:sz w:val="20"/>
                <w:szCs w:val="20"/>
                <w:color w:val="auto"/>
              </w:rPr>
            </w:pPr>
            <w:r>
              <w:rPr>
                <w:rFonts w:ascii="Arial" w:cs="Arial" w:eastAsia="Arial" w:hAnsi="Arial"/>
                <w:sz w:val="18"/>
                <w:szCs w:val="18"/>
                <w:b w:val="1"/>
                <w:bCs w:val="1"/>
                <w:color w:val="auto"/>
              </w:rPr>
              <w:t>Notes</w:t>
            </w: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91"/>
              </w:rPr>
              <w:t>3,13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754,876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91"/>
              </w:rPr>
              <w:t>4,13</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At fair value through profit or loss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9"/>
              </w:rPr>
              <w:t>4.1,4.2, 13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53,411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fair value through OCI</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7"/>
              </w:rPr>
              <w:t>4.3,13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55,703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141,803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Securities at amortized cost, net</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7"/>
              </w:rPr>
              <w:t>4.4,13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88,866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108,215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6,393,382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Less:</w:t>
            </w: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Allowance for expected credit losses</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106,335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tcPr>
          <w:p>
            <w:pPr>
              <w:ind w:left="320"/>
              <w:spacing w:after="0"/>
              <w:rPr>
                <w:sz w:val="20"/>
                <w:szCs w:val="20"/>
                <w:color w:val="auto"/>
              </w:rPr>
            </w:pPr>
            <w:r>
              <w:rPr>
                <w:rFonts w:ascii="Arial" w:cs="Arial" w:eastAsia="Arial" w:hAnsi="Arial"/>
                <w:sz w:val="18"/>
                <w:szCs w:val="18"/>
                <w:color w:val="auto"/>
              </w:rPr>
              <w:t>Unearned interest and deferred fees</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7"/>
              </w:rPr>
              <w:t>4.6</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8,695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at amortized cost, net</w:t>
            </w:r>
          </w:p>
        </w:tc>
        <w:tc>
          <w:tcPr>
            <w:tcW w:w="18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6,278,352</w:t>
            </w:r>
          </w:p>
        </w:tc>
        <w:tc>
          <w:tcPr>
            <w:tcW w:w="2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6,592,471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At fair value - Derivative financial instruments used for hedging – receivable</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9"/>
              </w:rPr>
              <w:t>4.8,4.9,13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27,369</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7,400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6,654</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6,173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Intangibles, net</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3,086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Other assets:</w:t>
            </w: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Customers' liabilities under acceptances</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1,715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Accrued interest receivable</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45,296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45,456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assets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79"/>
              </w:rPr>
              <w:t>5</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25,135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15,794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of other assets</w:t>
            </w:r>
          </w:p>
        </w:tc>
        <w:tc>
          <w:tcPr>
            <w:tcW w:w="18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72,146</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76,350</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8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7,287,080</w:t>
            </w:r>
          </w:p>
        </w:tc>
        <w:tc>
          <w:tcPr>
            <w:tcW w:w="2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8,286,216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630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Deposits: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91"/>
              </w:rPr>
              <w:t>6,13</w:t>
            </w: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Noninterest-bearing - Demand</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1,325</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Interest-bearing - Demand</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251,211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243,200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Time</w:t>
            </w:r>
          </w:p>
        </w:tc>
        <w:tc>
          <w:tcPr>
            <w:tcW w:w="1820" w:type="dxa"/>
            <w:vAlign w:val="bottom"/>
            <w:shd w:val="clear" w:color="auto" w:fill="CCEEFF"/>
          </w:tcPr>
          <w:p>
            <w:pPr>
              <w:spacing w:after="0"/>
              <w:rPr>
                <w:sz w:val="19"/>
                <w:szCs w:val="19"/>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2,873,469</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2,551,630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deposits</w:t>
            </w:r>
          </w:p>
        </w:tc>
        <w:tc>
          <w:tcPr>
            <w:tcW w:w="18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3,126,005</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2,795,469</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At fair value – Derivative financial instruments used for hedging – payable</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9"/>
              </w:rPr>
              <w:t>4.8,4.9,13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34,652</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29,889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shd w:val="clear" w:color="auto" w:fill="CCEEFF"/>
          </w:tcPr>
          <w:p>
            <w:pPr>
              <w:spacing w:after="0"/>
              <w:rPr>
                <w:sz w:val="18"/>
                <w:szCs w:val="18"/>
                <w:color w:val="auto"/>
              </w:rPr>
            </w:pP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9"/>
              </w:rPr>
              <w:t>4.1,4.9,13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9"/>
              </w:rPr>
              <w:t>4.9,7,13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101,403</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1820" w:type="dxa"/>
            <w:vAlign w:val="bottom"/>
          </w:tcPr>
          <w:p>
            <w:pPr>
              <w:jc w:val="center"/>
              <w:ind w:left="330"/>
              <w:spacing w:after="0"/>
              <w:rPr>
                <w:sz w:val="20"/>
                <w:szCs w:val="20"/>
                <w:color w:val="auto"/>
              </w:rPr>
            </w:pPr>
            <w:r>
              <w:rPr>
                <w:rFonts w:ascii="Arial" w:cs="Arial" w:eastAsia="Arial" w:hAnsi="Arial"/>
                <w:sz w:val="18"/>
                <w:szCs w:val="18"/>
                <w:color w:val="auto"/>
                <w:w w:val="87"/>
              </w:rPr>
              <w:t>8.1,13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1,132,488</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2,430,357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7"/>
              </w:rPr>
              <w:t>8.2,13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1,831,372</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1,881,813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8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Acceptances outstanding</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1,715</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15,100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Accrued interest payable</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9"/>
              </w:rPr>
              <w:t>13</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22,000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17,716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ind w:left="160"/>
              <w:spacing w:after="0"/>
              <w:rPr>
                <w:sz w:val="20"/>
                <w:szCs w:val="20"/>
                <w:color w:val="auto"/>
              </w:rPr>
            </w:pPr>
            <w:r>
              <w:rPr>
                <w:rFonts w:ascii="Arial" w:cs="Arial" w:eastAsia="Arial" w:hAnsi="Arial"/>
                <w:sz w:val="18"/>
                <w:szCs w:val="18"/>
                <w:color w:val="auto"/>
              </w:rPr>
              <w:t>Allowance for expected credit losses on off-balance sheet credit risk</w:t>
            </w:r>
          </w:p>
        </w:tc>
        <w:tc>
          <w:tcPr>
            <w:tcW w:w="1820" w:type="dxa"/>
            <w:vAlign w:val="bottom"/>
          </w:tcPr>
          <w:p>
            <w:pPr>
              <w:jc w:val="center"/>
              <w:ind w:left="350"/>
              <w:spacing w:after="0"/>
              <w:rPr>
                <w:sz w:val="20"/>
                <w:szCs w:val="20"/>
                <w:color w:val="auto"/>
              </w:rPr>
            </w:pPr>
            <w:r>
              <w:rPr>
                <w:rFonts w:ascii="Arial" w:cs="Arial" w:eastAsia="Arial" w:hAnsi="Arial"/>
                <w:sz w:val="18"/>
                <w:szCs w:val="18"/>
                <w:color w:val="auto"/>
                <w:w w:val="87"/>
              </w:rPr>
              <w:t>4.7</w:t>
            </w: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5,366</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5,424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liabilities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79"/>
              </w:rPr>
              <w:t>9</w:t>
            </w: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21,208</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24,344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liabilities</w:t>
            </w:r>
          </w:p>
        </w:tc>
        <w:tc>
          <w:tcPr>
            <w:tcW w:w="18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50,289</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62,584</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8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6,276,209</w:t>
            </w:r>
          </w:p>
        </w:tc>
        <w:tc>
          <w:tcPr>
            <w:tcW w:w="220" w:type="dxa"/>
            <w:vAlign w:val="bottom"/>
            <w:shd w:val="clear" w:color="auto" w:fill="CCEEFF"/>
          </w:tcPr>
          <w:p>
            <w:pPr>
              <w:spacing w:after="0"/>
              <w:rPr>
                <w:sz w:val="18"/>
                <w:szCs w:val="18"/>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7,314,285</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30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Stockholders' equity:</w:t>
            </w:r>
          </w:p>
        </w:tc>
        <w:tc>
          <w:tcPr>
            <w:tcW w:w="1820" w:type="dxa"/>
            <w:vAlign w:val="bottom"/>
            <w:shd w:val="clear" w:color="auto" w:fill="CCEEFF"/>
          </w:tcPr>
          <w:p>
            <w:pPr>
              <w:jc w:val="center"/>
              <w:ind w:left="350"/>
              <w:spacing w:after="0"/>
              <w:rPr>
                <w:sz w:val="20"/>
                <w:szCs w:val="20"/>
                <w:color w:val="auto"/>
              </w:rPr>
            </w:pPr>
            <w:r>
              <w:rPr>
                <w:rFonts w:ascii="Arial" w:cs="Arial" w:eastAsia="Arial" w:hAnsi="Arial"/>
                <w:sz w:val="18"/>
                <w:szCs w:val="18"/>
                <w:color w:val="auto"/>
                <w:w w:val="88"/>
              </w:rPr>
              <w:t>10,11,14</w:t>
            </w: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Common stock</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279,980</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79"/>
              </w:rPr>
              <w:t>11</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(69,185)</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(73,397)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120,011</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120,177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8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95,210</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300" w:type="dxa"/>
            <w:vAlign w:val="bottom"/>
          </w:tcPr>
          <w:p>
            <w:pPr>
              <w:spacing w:after="0"/>
              <w:rPr>
                <w:sz w:val="20"/>
                <w:szCs w:val="20"/>
                <w:color w:val="auto"/>
              </w:rPr>
            </w:pPr>
            <w:r>
              <w:rPr>
                <w:rFonts w:ascii="Arial" w:cs="Arial" w:eastAsia="Arial" w:hAnsi="Arial"/>
                <w:sz w:val="18"/>
                <w:szCs w:val="18"/>
                <w:color w:val="auto"/>
              </w:rPr>
              <w:t>Retained earnings</w:t>
            </w:r>
          </w:p>
        </w:tc>
        <w:tc>
          <w:tcPr>
            <w:tcW w:w="18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589,239</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560,642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30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loss</w:t>
            </w:r>
          </w:p>
        </w:tc>
        <w:tc>
          <w:tcPr>
            <w:tcW w:w="1820" w:type="dxa"/>
            <w:vAlign w:val="bottom"/>
            <w:shd w:val="clear" w:color="auto" w:fill="CCEEFF"/>
          </w:tcPr>
          <w:p>
            <w:pPr>
              <w:jc w:val="center"/>
              <w:ind w:left="330"/>
              <w:spacing w:after="0"/>
              <w:rPr>
                <w:sz w:val="20"/>
                <w:szCs w:val="20"/>
                <w:color w:val="auto"/>
              </w:rPr>
            </w:pPr>
            <w:r>
              <w:rPr>
                <w:rFonts w:ascii="Arial" w:cs="Arial" w:eastAsia="Arial" w:hAnsi="Arial"/>
                <w:sz w:val="18"/>
                <w:szCs w:val="18"/>
                <w:color w:val="auto"/>
                <w:w w:val="89"/>
              </w:rPr>
              <w:t>4.3,4.8,14</w:t>
            </w: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(4,384)</w:t>
            </w:r>
          </w:p>
        </w:tc>
        <w:tc>
          <w:tcPr>
            <w:tcW w:w="1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(10,681)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3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stockholders' equity</w:t>
            </w:r>
          </w:p>
        </w:tc>
        <w:tc>
          <w:tcPr>
            <w:tcW w:w="18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1,010,871</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971,931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30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8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7,287,080</w:t>
            </w:r>
          </w:p>
        </w:tc>
        <w:tc>
          <w:tcPr>
            <w:tcW w:w="220" w:type="dxa"/>
            <w:vAlign w:val="bottom"/>
            <w:tcBorders>
              <w:bottom w:val="single" w:sz="8" w:color="CCEEFF"/>
            </w:tcBorders>
            <w:shd w:val="clear" w:color="auto" w:fill="CCEEFF"/>
          </w:tcPr>
          <w:p>
            <w:pPr>
              <w:spacing w:after="0"/>
              <w:rPr>
                <w:sz w:val="19"/>
                <w:szCs w:val="19"/>
                <w:color w:val="auto"/>
              </w:rPr>
            </w:pPr>
          </w:p>
        </w:tc>
        <w:tc>
          <w:tcPr>
            <w:tcW w:w="1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8,286,216</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30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302" w:gutter="0" w:footer="0" w:header="0"/>
        </w:sectPr>
      </w:pPr>
    </w:p>
    <w:bookmarkStart w:id="5" w:name="page6"/>
    <w:bookmarkEnd w:id="5"/>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and nine months ended September 30,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540" w:type="dxa"/>
            <w:vAlign w:val="bottom"/>
            <w:gridSpan w:val="4"/>
          </w:tcPr>
          <w:p>
            <w:pPr>
              <w:jc w:val="right"/>
              <w:ind w:right="600"/>
              <w:spacing w:after="0"/>
              <w:rPr>
                <w:sz w:val="20"/>
                <w:szCs w:val="20"/>
                <w:color w:val="auto"/>
              </w:rPr>
            </w:pPr>
            <w:r>
              <w:rPr>
                <w:rFonts w:ascii="Arial" w:cs="Arial" w:eastAsia="Arial" w:hAnsi="Arial"/>
                <w:sz w:val="18"/>
                <w:szCs w:val="18"/>
                <w:b w:val="1"/>
                <w:bCs w:val="1"/>
                <w:color w:val="auto"/>
              </w:rPr>
              <w:t>Three months ended</w:t>
            </w:r>
          </w:p>
        </w:tc>
        <w:tc>
          <w:tcPr>
            <w:tcW w:w="2340" w:type="dxa"/>
            <w:vAlign w:val="bottom"/>
            <w:gridSpan w:val="5"/>
          </w:tcPr>
          <w:p>
            <w:pPr>
              <w:jc w:val="right"/>
              <w:ind w:right="480"/>
              <w:spacing w:after="0"/>
              <w:rPr>
                <w:sz w:val="20"/>
                <w:szCs w:val="20"/>
                <w:color w:val="auto"/>
              </w:rPr>
            </w:pPr>
            <w:r>
              <w:rPr>
                <w:rFonts w:ascii="Arial" w:cs="Arial" w:eastAsia="Arial" w:hAnsi="Arial"/>
                <w:sz w:val="18"/>
                <w:szCs w:val="18"/>
                <w:b w:val="1"/>
                <w:bCs w:val="1"/>
                <w:color w:val="auto"/>
              </w:rPr>
              <w:t>Nine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380" w:type="dxa"/>
            <w:vAlign w:val="bottom"/>
          </w:tcPr>
          <w:p>
            <w:pPr>
              <w:spacing w:after="0"/>
              <w:rPr>
                <w:sz w:val="20"/>
                <w:szCs w:val="20"/>
                <w:color w:val="auto"/>
              </w:rPr>
            </w:pPr>
          </w:p>
        </w:tc>
        <w:tc>
          <w:tcPr>
            <w:tcW w:w="1140" w:type="dxa"/>
            <w:vAlign w:val="bottom"/>
            <w:vMerge w:val="restart"/>
          </w:tcPr>
          <w:p>
            <w:pPr>
              <w:ind w:left="340"/>
              <w:spacing w:after="0"/>
              <w:rPr>
                <w:sz w:val="20"/>
                <w:szCs w:val="20"/>
                <w:color w:val="auto"/>
              </w:rPr>
            </w:pPr>
            <w:r>
              <w:rPr>
                <w:rFonts w:ascii="Arial" w:cs="Arial" w:eastAsia="Arial" w:hAnsi="Arial"/>
                <w:sz w:val="18"/>
                <w:szCs w:val="18"/>
                <w:b w:val="1"/>
                <w:bCs w:val="1"/>
                <w:color w:val="auto"/>
              </w:rPr>
              <w:t>Notes</w:t>
            </w:r>
          </w:p>
        </w:tc>
        <w:tc>
          <w:tcPr>
            <w:tcW w:w="2540" w:type="dxa"/>
            <w:vAlign w:val="bottom"/>
            <w:gridSpan w:val="4"/>
          </w:tcPr>
          <w:p>
            <w:pPr>
              <w:jc w:val="right"/>
              <w:ind w:right="840"/>
              <w:spacing w:after="0"/>
              <w:rPr>
                <w:sz w:val="20"/>
                <w:szCs w:val="20"/>
                <w:color w:val="auto"/>
              </w:rPr>
            </w:pPr>
            <w:r>
              <w:rPr>
                <w:rFonts w:ascii="Arial" w:cs="Arial" w:eastAsia="Arial" w:hAnsi="Arial"/>
                <w:sz w:val="18"/>
                <w:szCs w:val="18"/>
                <w:b w:val="1"/>
                <w:bCs w:val="1"/>
                <w:color w:val="auto"/>
              </w:rPr>
              <w:t>September 30,</w:t>
            </w:r>
          </w:p>
        </w:tc>
        <w:tc>
          <w:tcPr>
            <w:tcW w:w="2340" w:type="dxa"/>
            <w:vAlign w:val="bottom"/>
            <w:gridSpan w:val="5"/>
          </w:tcPr>
          <w:p>
            <w:pPr>
              <w:jc w:val="right"/>
              <w:ind w:right="680"/>
              <w:spacing w:after="0"/>
              <w:rPr>
                <w:sz w:val="20"/>
                <w:szCs w:val="20"/>
                <w:color w:val="auto"/>
              </w:rPr>
            </w:pPr>
            <w:r>
              <w:rPr>
                <w:rFonts w:ascii="Arial" w:cs="Arial" w:eastAsia="Arial" w:hAnsi="Arial"/>
                <w:sz w:val="18"/>
                <w:szCs w:val="18"/>
                <w:b w:val="1"/>
                <w:bCs w:val="1"/>
                <w:color w:val="auto"/>
              </w:rPr>
              <w:t>September 30,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380" w:type="dxa"/>
            <w:vAlign w:val="bottom"/>
          </w:tcPr>
          <w:p>
            <w:pPr>
              <w:spacing w:after="0"/>
              <w:rPr>
                <w:sz w:val="19"/>
                <w:szCs w:val="19"/>
                <w:color w:val="auto"/>
              </w:rPr>
            </w:pPr>
          </w:p>
        </w:tc>
        <w:tc>
          <w:tcPr>
            <w:tcW w:w="1140" w:type="dxa"/>
            <w:vAlign w:val="bottom"/>
            <w:vMerge w:val="continue"/>
          </w:tcPr>
          <w:p>
            <w:pPr>
              <w:spacing w:after="0"/>
              <w:rPr>
                <w:sz w:val="19"/>
                <w:szCs w:val="19"/>
                <w:color w:val="auto"/>
              </w:rPr>
            </w:pPr>
          </w:p>
        </w:tc>
        <w:tc>
          <w:tcPr>
            <w:tcW w:w="104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2016</w:t>
            </w:r>
          </w:p>
        </w:tc>
        <w:tc>
          <w:tcPr>
            <w:tcW w:w="240" w:type="dxa"/>
            <w:vAlign w:val="bottom"/>
            <w:tcBorders>
              <w:top w:val="single" w:sz="8" w:color="auto"/>
            </w:tcBorders>
          </w:tcPr>
          <w:p>
            <w:pPr>
              <w:spacing w:after="0"/>
              <w:rPr>
                <w:sz w:val="19"/>
                <w:szCs w:val="19"/>
                <w:color w:val="auto"/>
              </w:rPr>
            </w:pPr>
          </w:p>
        </w:tc>
        <w:tc>
          <w:tcPr>
            <w:tcW w:w="104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tcBorders>
          </w:tcPr>
          <w:p>
            <w:pPr>
              <w:spacing w:after="0"/>
              <w:rPr>
                <w:sz w:val="19"/>
                <w:szCs w:val="19"/>
                <w:color w:val="auto"/>
              </w:rPr>
            </w:pPr>
          </w:p>
        </w:tc>
        <w:tc>
          <w:tcPr>
            <w:tcW w:w="1020" w:type="dxa"/>
            <w:vAlign w:val="bottom"/>
            <w:tcBorders>
              <w:top w:val="single" w:sz="8" w:color="auto"/>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7"/>
              </w:rPr>
              <w:t>4.8</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ind w:left="180"/>
              <w:spacing w:after="0"/>
              <w:rPr>
                <w:sz w:val="20"/>
                <w:szCs w:val="20"/>
                <w:color w:val="auto"/>
              </w:rPr>
            </w:pPr>
            <w:r>
              <w:rPr>
                <w:rFonts w:ascii="Arial" w:cs="Arial" w:eastAsia="Arial" w:hAnsi="Arial"/>
                <w:sz w:val="18"/>
                <w:szCs w:val="18"/>
                <w:color w:val="auto"/>
              </w:rPr>
              <w:t>Deposits</w:t>
            </w:r>
          </w:p>
        </w:tc>
        <w:tc>
          <w:tcPr>
            <w:tcW w:w="114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1,142</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564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3,206</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1,484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At fair value through OCI</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457</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1,956</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4,944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80" w:type="dxa"/>
            <w:vAlign w:val="bottom"/>
          </w:tcPr>
          <w:p>
            <w:pPr>
              <w:ind w:left="180"/>
              <w:spacing w:after="0"/>
              <w:rPr>
                <w:sz w:val="20"/>
                <w:szCs w:val="20"/>
                <w:color w:val="auto"/>
              </w:rPr>
            </w:pPr>
            <w:r>
              <w:rPr>
                <w:rFonts w:ascii="Arial" w:cs="Arial" w:eastAsia="Arial" w:hAnsi="Arial"/>
                <w:sz w:val="18"/>
                <w:szCs w:val="18"/>
                <w:color w:val="auto"/>
              </w:rPr>
              <w:t>At amortized cost</w:t>
            </w:r>
          </w:p>
        </w:tc>
        <w:tc>
          <w:tcPr>
            <w:tcW w:w="114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61,218</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53,789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179,286</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155,758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62,817</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55,708</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184,448</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162,186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140" w:type="dxa"/>
            <w:vAlign w:val="bottom"/>
          </w:tcPr>
          <w:p>
            <w:pPr>
              <w:jc w:val="center"/>
              <w:spacing w:after="0"/>
              <w:rPr>
                <w:sz w:val="20"/>
                <w:szCs w:val="20"/>
                <w:color w:val="auto"/>
              </w:rPr>
            </w:pPr>
            <w:r>
              <w:rPr>
                <w:rFonts w:ascii="Arial" w:cs="Arial" w:eastAsia="Arial" w:hAnsi="Arial"/>
                <w:sz w:val="18"/>
                <w:szCs w:val="18"/>
                <w:color w:val="auto"/>
                <w:w w:val="87"/>
              </w:rPr>
              <w:t>4.8</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Deposits</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5,329</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3,287</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14,970</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8,478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ind w:left="180"/>
              <w:spacing w:after="0"/>
              <w:rPr>
                <w:sz w:val="20"/>
                <w:szCs w:val="20"/>
                <w:color w:val="auto"/>
              </w:rPr>
            </w:pPr>
            <w:r>
              <w:rPr>
                <w:rFonts w:ascii="Arial" w:cs="Arial" w:eastAsia="Arial" w:hAnsi="Arial"/>
                <w:sz w:val="18"/>
                <w:szCs w:val="18"/>
                <w:color w:val="auto"/>
              </w:rPr>
              <w:t>Short-term borrowings and debt</w:t>
            </w:r>
          </w:p>
        </w:tc>
        <w:tc>
          <w:tcPr>
            <w:tcW w:w="114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3,642</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4,864</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12,232</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17,344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80" w:type="dxa"/>
            <w:vAlign w:val="bottom"/>
            <w:shd w:val="clear" w:color="auto" w:fill="CCEEFF"/>
          </w:tcPr>
          <w:p>
            <w:pPr>
              <w:ind w:left="180"/>
              <w:spacing w:after="0"/>
              <w:rPr>
                <w:sz w:val="20"/>
                <w:szCs w:val="20"/>
                <w:color w:val="auto"/>
              </w:rPr>
            </w:pPr>
            <w:r>
              <w:rPr>
                <w:rFonts w:ascii="Arial" w:cs="Arial" w:eastAsia="Arial" w:hAnsi="Arial"/>
                <w:sz w:val="18"/>
                <w:szCs w:val="18"/>
                <w:color w:val="auto"/>
              </w:rPr>
              <w:t>Long-term borrowings and debt</w:t>
            </w:r>
          </w:p>
        </w:tc>
        <w:tc>
          <w:tcPr>
            <w:tcW w:w="11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14,026</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10,488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39,722</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28,663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114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22,997</w:t>
            </w:r>
          </w:p>
        </w:tc>
        <w:tc>
          <w:tcPr>
            <w:tcW w:w="24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18,639</w:t>
            </w:r>
          </w:p>
        </w:tc>
        <w:tc>
          <w:tcPr>
            <w:tcW w:w="22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66,924</w:t>
            </w:r>
          </w:p>
        </w:tc>
        <w:tc>
          <w:tcPr>
            <w:tcW w:w="220" w:type="dxa"/>
            <w:vAlign w:val="bottom"/>
            <w:tcBorders>
              <w:bottom w:val="single" w:sz="8" w:color="CCEEFF"/>
            </w:tcBorders>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54,485</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38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114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39,820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37,069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117,524</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107,701</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b w:val="1"/>
                <w:bCs w:val="1"/>
                <w:color w:val="auto"/>
              </w:rPr>
              <w:t>Other income:</w:t>
            </w: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3,371</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7,461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10,178</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12,870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Derivate financial instruments and foreign currency exchange</w:t>
            </w:r>
          </w:p>
        </w:tc>
        <w:tc>
          <w:tcPr>
            <w:tcW w:w="1140" w:type="dxa"/>
            <w:vAlign w:val="bottom"/>
          </w:tcPr>
          <w:p>
            <w:pPr>
              <w:jc w:val="center"/>
              <w:spacing w:after="0"/>
              <w:rPr>
                <w:sz w:val="20"/>
                <w:szCs w:val="20"/>
                <w:color w:val="auto"/>
              </w:rPr>
            </w:pPr>
            <w:r>
              <w:rPr>
                <w:rFonts w:ascii="Arial" w:cs="Arial" w:eastAsia="Arial" w:hAnsi="Arial"/>
                <w:sz w:val="18"/>
                <w:szCs w:val="18"/>
                <w:color w:val="auto"/>
                <w:w w:val="87"/>
              </w:rPr>
              <w:t>4.8</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204</w:t>
            </w: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(902)</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(135)</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(397)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w w:val="97"/>
              </w:rPr>
              <w:t>(Loss) Gain per financial instrument at fair value through profit or loss</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(324)</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7,709</w:t>
            </w:r>
          </w:p>
        </w:tc>
        <w:tc>
          <w:tcPr>
            <w:tcW w:w="12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(4,091)</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8,009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(Loss) Gain per financial instrument at fair value through OCI</w:t>
            </w:r>
          </w:p>
        </w:tc>
        <w:tc>
          <w:tcPr>
            <w:tcW w:w="11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69</w:t>
            </w:r>
          </w:p>
        </w:tc>
        <w:tc>
          <w:tcPr>
            <w:tcW w:w="240" w:type="dxa"/>
            <w:vAlign w:val="bottom"/>
          </w:tcPr>
          <w:p>
            <w:pPr>
              <w:spacing w:after="0"/>
              <w:rPr>
                <w:sz w:val="18"/>
                <w:szCs w:val="18"/>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(65)</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(246)</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364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loans at amortized cost</w:t>
            </w:r>
          </w:p>
        </w:tc>
        <w:tc>
          <w:tcPr>
            <w:tcW w:w="11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w:t>
            </w:r>
          </w:p>
        </w:tc>
        <w:tc>
          <w:tcPr>
            <w:tcW w:w="24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490</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Other income</w:t>
            </w:r>
          </w:p>
        </w:tc>
        <w:tc>
          <w:tcPr>
            <w:tcW w:w="114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150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498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1,057</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1,030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1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3,557</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14,909</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7,253</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22,596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income</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43,377</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51,978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124,777</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130,297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Expenses:</w:t>
            </w:r>
          </w:p>
        </w:tc>
        <w:tc>
          <w:tcPr>
            <w:tcW w:w="1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380" w:type="dxa"/>
            <w:vAlign w:val="bottom"/>
          </w:tcPr>
          <w:p>
            <w:pPr>
              <w:spacing w:after="0" w:line="201" w:lineRule="exact"/>
              <w:rPr>
                <w:sz w:val="20"/>
                <w:szCs w:val="20"/>
                <w:color w:val="auto"/>
              </w:rPr>
            </w:pPr>
            <w:r>
              <w:rPr>
                <w:rFonts w:ascii="Arial" w:cs="Arial" w:eastAsia="Arial" w:hAnsi="Arial"/>
                <w:sz w:val="18"/>
                <w:szCs w:val="18"/>
                <w:color w:val="auto"/>
              </w:rPr>
              <w:t>Impairment (recovery) loss from expected credit losses on loans at</w:t>
            </w:r>
          </w:p>
        </w:tc>
        <w:tc>
          <w:tcPr>
            <w:tcW w:w="11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400" w:type="dxa"/>
            <w:vAlign w:val="bottom"/>
            <w:gridSpan w:val="2"/>
          </w:tcPr>
          <w:p>
            <w:pPr>
              <w:spacing w:after="0"/>
              <w:rPr>
                <w:sz w:val="20"/>
                <w:szCs w:val="20"/>
                <w:color w:val="auto"/>
              </w:rPr>
            </w:pPr>
            <w:r>
              <w:rPr>
                <w:rFonts w:ascii="Arial" w:cs="Arial" w:eastAsia="Arial" w:hAnsi="Arial"/>
                <w:sz w:val="18"/>
                <w:szCs w:val="18"/>
                <w:color w:val="auto"/>
              </w:rPr>
              <w:t>amortized cost</w:t>
            </w:r>
          </w:p>
        </w:tc>
        <w:tc>
          <w:tcPr>
            <w:tcW w:w="1140" w:type="dxa"/>
            <w:vAlign w:val="bottom"/>
          </w:tcPr>
          <w:p>
            <w:pPr>
              <w:jc w:val="center"/>
              <w:spacing w:after="0"/>
              <w:rPr>
                <w:sz w:val="20"/>
                <w:szCs w:val="20"/>
                <w:color w:val="auto"/>
              </w:rPr>
            </w:pPr>
            <w:r>
              <w:rPr>
                <w:rFonts w:ascii="Arial" w:cs="Arial" w:eastAsia="Arial" w:hAnsi="Arial"/>
                <w:sz w:val="18"/>
                <w:szCs w:val="18"/>
                <w:color w:val="auto"/>
                <w:w w:val="87"/>
              </w:rPr>
              <w:t>4.6</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5,077</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8,761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17,186</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15,380</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38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Impairment (recovery) loss from expected credit losses on investment</w:t>
            </w:r>
          </w:p>
        </w:tc>
        <w:tc>
          <w:tcPr>
            <w:tcW w:w="11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4.3,4.4</w:t>
            </w:r>
          </w:p>
        </w:tc>
        <w:tc>
          <w:tcPr>
            <w:tcW w:w="12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(210)</w:t>
            </w: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276</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543</w:t>
            </w: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5380" w:type="dxa"/>
            <w:vAlign w:val="bottom"/>
          </w:tcPr>
          <w:p>
            <w:pPr>
              <w:spacing w:after="0" w:line="201" w:lineRule="exact"/>
              <w:rPr>
                <w:sz w:val="20"/>
                <w:szCs w:val="20"/>
                <w:color w:val="auto"/>
              </w:rPr>
            </w:pPr>
            <w:r>
              <w:rPr>
                <w:rFonts w:ascii="Arial" w:cs="Arial" w:eastAsia="Arial" w:hAnsi="Arial"/>
                <w:sz w:val="18"/>
                <w:szCs w:val="18"/>
                <w:color w:val="auto"/>
              </w:rPr>
              <w:t>(Recovery) Impairment loss from expected credit losses on loans</w:t>
            </w:r>
          </w:p>
        </w:tc>
        <w:tc>
          <w:tcPr>
            <w:tcW w:w="11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400" w:type="dxa"/>
            <w:vAlign w:val="bottom"/>
            <w:gridSpan w:val="2"/>
          </w:tcPr>
          <w:p>
            <w:pPr>
              <w:spacing w:after="0"/>
              <w:rPr>
                <w:sz w:val="20"/>
                <w:szCs w:val="20"/>
                <w:color w:val="auto"/>
              </w:rPr>
            </w:pPr>
            <w:r>
              <w:rPr>
                <w:rFonts w:ascii="Arial" w:cs="Arial" w:eastAsia="Arial" w:hAnsi="Arial"/>
                <w:sz w:val="18"/>
                <w:szCs w:val="18"/>
                <w:color w:val="auto"/>
              </w:rPr>
              <w:t>commitments and financial guarantees contracts</w:t>
            </w:r>
          </w:p>
        </w:tc>
        <w:tc>
          <w:tcPr>
            <w:tcW w:w="1140" w:type="dxa"/>
            <w:vAlign w:val="bottom"/>
          </w:tcPr>
          <w:p>
            <w:pPr>
              <w:jc w:val="center"/>
              <w:spacing w:after="0"/>
              <w:rPr>
                <w:sz w:val="20"/>
                <w:szCs w:val="20"/>
                <w:color w:val="auto"/>
              </w:rPr>
            </w:pPr>
            <w:r>
              <w:rPr>
                <w:rFonts w:ascii="Arial" w:cs="Arial" w:eastAsia="Arial" w:hAnsi="Arial"/>
                <w:sz w:val="18"/>
                <w:szCs w:val="18"/>
                <w:color w:val="auto"/>
                <w:w w:val="87"/>
              </w:rPr>
              <w:t>4.7</w:t>
            </w:r>
          </w:p>
        </w:tc>
        <w:tc>
          <w:tcPr>
            <w:tcW w:w="1280" w:type="dxa"/>
            <w:vAlign w:val="bottom"/>
            <w:gridSpan w:val="2"/>
          </w:tcPr>
          <w:p>
            <w:pPr>
              <w:jc w:val="right"/>
              <w:ind w:right="180"/>
              <w:spacing w:after="0"/>
              <w:rPr>
                <w:sz w:val="20"/>
                <w:szCs w:val="20"/>
                <w:color w:val="auto"/>
              </w:rPr>
            </w:pPr>
            <w:r>
              <w:rPr>
                <w:rFonts w:ascii="Arial" w:cs="Arial" w:eastAsia="Arial" w:hAnsi="Arial"/>
                <w:sz w:val="18"/>
                <w:szCs w:val="18"/>
                <w:color w:val="auto"/>
              </w:rPr>
              <w:t>(725)</w:t>
            </w:r>
          </w:p>
        </w:tc>
        <w:tc>
          <w:tcPr>
            <w:tcW w:w="1260" w:type="dxa"/>
            <w:vAlign w:val="bottom"/>
            <w:gridSpan w:val="2"/>
          </w:tcPr>
          <w:p>
            <w:pPr>
              <w:jc w:val="right"/>
              <w:ind w:right="160"/>
              <w:spacing w:after="0"/>
              <w:rPr>
                <w:sz w:val="20"/>
                <w:szCs w:val="20"/>
                <w:color w:val="auto"/>
              </w:rPr>
            </w:pPr>
            <w:r>
              <w:rPr>
                <w:rFonts w:ascii="Arial" w:cs="Arial" w:eastAsia="Arial" w:hAnsi="Arial"/>
                <w:sz w:val="18"/>
                <w:szCs w:val="18"/>
                <w:color w:val="auto"/>
              </w:rPr>
              <w:t>(6,740)</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(59)</w:t>
            </w:r>
          </w:p>
        </w:tc>
        <w:tc>
          <w:tcPr>
            <w:tcW w:w="1120" w:type="dxa"/>
            <w:vAlign w:val="bottom"/>
            <w:gridSpan w:val="3"/>
          </w:tcPr>
          <w:p>
            <w:pPr>
              <w:jc w:val="right"/>
              <w:ind w:right="40"/>
              <w:spacing w:after="0"/>
              <w:rPr>
                <w:sz w:val="20"/>
                <w:szCs w:val="20"/>
                <w:color w:val="auto"/>
              </w:rPr>
            </w:pPr>
            <w:r>
              <w:rPr>
                <w:rFonts w:ascii="Arial" w:cs="Arial" w:eastAsia="Arial" w:hAnsi="Arial"/>
                <w:sz w:val="18"/>
                <w:szCs w:val="18"/>
                <w:color w:val="auto"/>
              </w:rPr>
              <w:t>(5,069)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6,230</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7,466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19,008</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23,189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14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376</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338</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1,039</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1,063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222</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425</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447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Professional services</w:t>
            </w:r>
          </w:p>
        </w:tc>
        <w:tc>
          <w:tcPr>
            <w:tcW w:w="114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1,290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1,206</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2,614</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3,182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Maintenance and repairs</w:t>
            </w:r>
          </w:p>
        </w:tc>
        <w:tc>
          <w:tcPr>
            <w:tcW w:w="114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480</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1,353</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1,211</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80" w:type="dxa"/>
            <w:vAlign w:val="bottom"/>
          </w:tcPr>
          <w:p>
            <w:pPr>
              <w:spacing w:after="0"/>
              <w:rPr>
                <w:sz w:val="20"/>
                <w:szCs w:val="20"/>
                <w:color w:val="auto"/>
              </w:rPr>
            </w:pPr>
            <w:r>
              <w:rPr>
                <w:rFonts w:ascii="Arial" w:cs="Arial" w:eastAsia="Arial" w:hAnsi="Arial"/>
                <w:sz w:val="18"/>
                <w:szCs w:val="18"/>
                <w:color w:val="auto"/>
              </w:rPr>
              <w:t>Other expenses</w:t>
            </w:r>
          </w:p>
        </w:tc>
        <w:tc>
          <w:tcPr>
            <w:tcW w:w="1140" w:type="dxa"/>
            <w:vAlign w:val="bottom"/>
          </w:tcPr>
          <w:p>
            <w:pPr>
              <w:spacing w:after="0"/>
              <w:rPr>
                <w:sz w:val="19"/>
                <w:szCs w:val="19"/>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2,646</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3,360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9,234</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9,593</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11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15,386</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14,606</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51,076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49,539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140" w:type="dxa"/>
            <w:vAlign w:val="bottom"/>
            <w:shd w:val="clear" w:color="auto" w:fill="CCEEFF"/>
          </w:tcPr>
          <w:p>
            <w:pPr>
              <w:spacing w:after="0"/>
              <w:rPr>
                <w:sz w:val="21"/>
                <w:szCs w:val="21"/>
                <w:color w:val="auto"/>
              </w:rPr>
            </w:pP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27,991</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37,372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73,701</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80,758</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80" w:type="dxa"/>
            <w:vAlign w:val="bottom"/>
            <w:tcBorders>
              <w:top w:val="single" w:sz="8" w:color="CCEEFF"/>
            </w:tcBorders>
          </w:tcPr>
          <w:p>
            <w:pPr>
              <w:spacing w:after="0" w:line="20" w:lineRule="exact"/>
              <w:rPr>
                <w:sz w:val="1"/>
                <w:szCs w:val="1"/>
                <w:color w:val="auto"/>
              </w:rPr>
            </w:pPr>
          </w:p>
        </w:tc>
        <w:tc>
          <w:tcPr>
            <w:tcW w:w="11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3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Earnings per share:</w:t>
            </w:r>
          </w:p>
        </w:tc>
        <w:tc>
          <w:tcPr>
            <w:tcW w:w="11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3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38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10</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0.72</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10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2.08</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w:t>
            </w:r>
          </w:p>
        </w:tc>
        <w:tc>
          <w:tcPr>
            <w:tcW w:w="114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10</w:t>
            </w: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20" w:type="dxa"/>
            <w:vAlign w:val="bottom"/>
          </w:tcPr>
          <w:p>
            <w:pPr>
              <w:spacing w:after="0"/>
              <w:rPr>
                <w:sz w:val="20"/>
                <w:szCs w:val="20"/>
                <w:color w:val="auto"/>
              </w:rPr>
            </w:pPr>
          </w:p>
        </w:tc>
        <w:tc>
          <w:tcPr>
            <w:tcW w:w="5380" w:type="dxa"/>
            <w:vAlign w:val="bottom"/>
            <w:tcBorders>
              <w:bottom w:val="single" w:sz="8" w:color="CCEEFF"/>
            </w:tcBorders>
            <w:vMerge w:val="continue"/>
          </w:tcPr>
          <w:p>
            <w:pPr>
              <w:spacing w:after="0"/>
              <w:rPr>
                <w:sz w:val="20"/>
                <w:szCs w:val="20"/>
                <w:color w:val="auto"/>
              </w:rPr>
            </w:pPr>
          </w:p>
        </w:tc>
        <w:tc>
          <w:tcPr>
            <w:tcW w:w="1140" w:type="dxa"/>
            <w:vAlign w:val="bottom"/>
            <w:tcBorders>
              <w:bottom w:val="single" w:sz="8" w:color="CCEEFF"/>
            </w:tcBorders>
            <w:vMerge w:val="continue"/>
          </w:tcPr>
          <w:p>
            <w:pPr>
              <w:spacing w:after="0"/>
              <w:rPr>
                <w:sz w:val="20"/>
                <w:szCs w:val="20"/>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0.71</w:t>
            </w:r>
          </w:p>
        </w:tc>
        <w:tc>
          <w:tcPr>
            <w:tcW w:w="240" w:type="dxa"/>
            <w:vAlign w:val="bottom"/>
            <w:tcBorders>
              <w:bottom w:val="single" w:sz="8" w:color="CCEEFF"/>
            </w:tcBorders>
            <w:vMerge w:val="continue"/>
          </w:tcPr>
          <w:p>
            <w:pPr>
              <w:spacing w:after="0"/>
              <w:rPr>
                <w:sz w:val="20"/>
                <w:szCs w:val="20"/>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0.96</w:t>
            </w:r>
          </w:p>
        </w:tc>
        <w:tc>
          <w:tcPr>
            <w:tcW w:w="220" w:type="dxa"/>
            <w:vAlign w:val="bottom"/>
            <w:tcBorders>
              <w:bottom w:val="single" w:sz="8" w:color="CCEEFF"/>
            </w:tcBorders>
            <w:vMerge w:val="continue"/>
          </w:tcPr>
          <w:p>
            <w:pPr>
              <w:spacing w:after="0"/>
              <w:rPr>
                <w:sz w:val="20"/>
                <w:szCs w:val="20"/>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1.88</w:t>
            </w:r>
          </w:p>
        </w:tc>
        <w:tc>
          <w:tcPr>
            <w:tcW w:w="220" w:type="dxa"/>
            <w:vAlign w:val="bottom"/>
            <w:tcBorders>
              <w:bottom w:val="single" w:sz="8" w:color="CCEEFF"/>
            </w:tcBorders>
            <w:vMerge w:val="continue"/>
          </w:tcPr>
          <w:p>
            <w:pPr>
              <w:spacing w:after="0"/>
              <w:rPr>
                <w:sz w:val="20"/>
                <w:szCs w:val="20"/>
                <w:color w:val="auto"/>
              </w:rPr>
            </w:pPr>
          </w:p>
        </w:tc>
        <w:tc>
          <w:tcPr>
            <w:tcW w:w="10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2.07</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38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w:t>
            </w:r>
          </w:p>
        </w:tc>
        <w:tc>
          <w:tcPr>
            <w:tcW w:w="1140" w:type="dxa"/>
            <w:vAlign w:val="bottom"/>
            <w:tcBorders>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9"/>
              </w:rPr>
              <w:t>10</w:t>
            </w:r>
          </w:p>
        </w:tc>
        <w:tc>
          <w:tcPr>
            <w:tcW w:w="10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39,102</w:t>
            </w:r>
          </w:p>
        </w:tc>
        <w:tc>
          <w:tcPr>
            <w:tcW w:w="240" w:type="dxa"/>
            <w:vAlign w:val="bottom"/>
            <w:tcBorders>
              <w:bottom w:val="single" w:sz="8" w:color="CCEEFF"/>
            </w:tcBorders>
            <w:shd w:val="clear" w:color="auto" w:fill="CCEEFF"/>
          </w:tcPr>
          <w:p>
            <w:pPr>
              <w:spacing w:after="0"/>
              <w:rPr>
                <w:sz w:val="17"/>
                <w:szCs w:val="17"/>
                <w:color w:val="auto"/>
              </w:rPr>
            </w:pPr>
          </w:p>
        </w:tc>
        <w:tc>
          <w:tcPr>
            <w:tcW w:w="104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38,969</w:t>
            </w:r>
          </w:p>
        </w:tc>
        <w:tc>
          <w:tcPr>
            <w:tcW w:w="220" w:type="dxa"/>
            <w:vAlign w:val="bottom"/>
            <w:tcBorders>
              <w:bottom w:val="single" w:sz="8" w:color="CCEEFF"/>
            </w:tcBorders>
            <w:shd w:val="clear" w:color="auto" w:fill="CCEEFF"/>
          </w:tcPr>
          <w:p>
            <w:pPr>
              <w:spacing w:after="0"/>
              <w:rPr>
                <w:sz w:val="17"/>
                <w:szCs w:val="17"/>
                <w:color w:val="auto"/>
              </w:rPr>
            </w:pPr>
          </w:p>
        </w:tc>
        <w:tc>
          <w:tcPr>
            <w:tcW w:w="10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39,059</w:t>
            </w:r>
          </w:p>
        </w:tc>
        <w:tc>
          <w:tcPr>
            <w:tcW w:w="220" w:type="dxa"/>
            <w:vAlign w:val="bottom"/>
            <w:tcBorders>
              <w:bottom w:val="single" w:sz="8" w:color="CCEEFF"/>
            </w:tcBorders>
            <w:shd w:val="clear" w:color="auto" w:fill="CCEEFF"/>
          </w:tcPr>
          <w:p>
            <w:pPr>
              <w:spacing w:after="0"/>
              <w:rPr>
                <w:sz w:val="17"/>
                <w:szCs w:val="17"/>
                <w:color w:val="auto"/>
              </w:rPr>
            </w:pPr>
          </w:p>
        </w:tc>
        <w:tc>
          <w:tcPr>
            <w:tcW w:w="10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38,909</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80" w:type="dxa"/>
            <w:vAlign w:val="bottom"/>
            <w:vMerge w:val="restart"/>
          </w:tcPr>
          <w:p>
            <w:pPr>
              <w:spacing w:after="0"/>
              <w:rPr>
                <w:sz w:val="20"/>
                <w:szCs w:val="20"/>
                <w:color w:val="auto"/>
              </w:rPr>
            </w:pPr>
            <w:r>
              <w:rPr>
                <w:rFonts w:ascii="Arial" w:cs="Arial" w:eastAsia="Arial" w:hAnsi="Arial"/>
                <w:sz w:val="18"/>
                <w:szCs w:val="18"/>
                <w:color w:val="auto"/>
              </w:rPr>
              <w:t>Weighted average diluted shares</w:t>
            </w:r>
          </w:p>
        </w:tc>
        <w:tc>
          <w:tcPr>
            <w:tcW w:w="1140" w:type="dxa"/>
            <w:vAlign w:val="bottom"/>
            <w:vMerge w:val="restart"/>
          </w:tcPr>
          <w:p>
            <w:pPr>
              <w:jc w:val="center"/>
              <w:spacing w:after="0"/>
              <w:rPr>
                <w:sz w:val="20"/>
                <w:szCs w:val="20"/>
                <w:color w:val="auto"/>
              </w:rPr>
            </w:pPr>
            <w:r>
              <w:rPr>
                <w:rFonts w:ascii="Arial" w:cs="Arial" w:eastAsia="Arial" w:hAnsi="Arial"/>
                <w:sz w:val="18"/>
                <w:szCs w:val="18"/>
                <w:color w:val="auto"/>
                <w:w w:val="89"/>
              </w:rPr>
              <w:t>10</w:t>
            </w: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5380" w:type="dxa"/>
            <w:vAlign w:val="bottom"/>
            <w:vMerge w:val="continue"/>
          </w:tcPr>
          <w:p>
            <w:pPr>
              <w:spacing w:after="0"/>
              <w:rPr>
                <w:sz w:val="17"/>
                <w:szCs w:val="17"/>
                <w:color w:val="auto"/>
              </w:rPr>
            </w:pPr>
          </w:p>
        </w:tc>
        <w:tc>
          <w:tcPr>
            <w:tcW w:w="1140" w:type="dxa"/>
            <w:vAlign w:val="bottom"/>
            <w:vMerge w:val="continue"/>
          </w:tcPr>
          <w:p>
            <w:pPr>
              <w:spacing w:after="0"/>
              <w:rPr>
                <w:sz w:val="17"/>
                <w:szCs w:val="17"/>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39,225</w:t>
            </w:r>
          </w:p>
        </w:tc>
        <w:tc>
          <w:tcPr>
            <w:tcW w:w="240" w:type="dxa"/>
            <w:vAlign w:val="bottom"/>
            <w:vMerge w:val="continue"/>
          </w:tcPr>
          <w:p>
            <w:pPr>
              <w:spacing w:after="0"/>
              <w:rPr>
                <w:sz w:val="17"/>
                <w:szCs w:val="17"/>
                <w:color w:val="auto"/>
              </w:rPr>
            </w:pPr>
          </w:p>
        </w:tc>
        <w:tc>
          <w:tcPr>
            <w:tcW w:w="10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39,095</w:t>
            </w:r>
          </w:p>
        </w:tc>
        <w:tc>
          <w:tcPr>
            <w:tcW w:w="220" w:type="dxa"/>
            <w:vAlign w:val="bottom"/>
            <w:vMerge w:val="continue"/>
          </w:tcPr>
          <w:p>
            <w:pPr>
              <w:spacing w:after="0"/>
              <w:rPr>
                <w:sz w:val="17"/>
                <w:szCs w:val="17"/>
                <w:color w:val="auto"/>
              </w:rPr>
            </w:pPr>
          </w:p>
        </w:tc>
        <w:tc>
          <w:tcPr>
            <w:tcW w:w="10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39,178</w:t>
            </w:r>
          </w:p>
        </w:tc>
        <w:tc>
          <w:tcPr>
            <w:tcW w:w="220" w:type="dxa"/>
            <w:vAlign w:val="bottom"/>
            <w:vMerge w:val="continue"/>
          </w:tcPr>
          <w:p>
            <w:pPr>
              <w:spacing w:after="0"/>
              <w:rPr>
                <w:sz w:val="17"/>
                <w:szCs w:val="17"/>
                <w:color w:val="auto"/>
              </w:rPr>
            </w:pPr>
          </w:p>
        </w:tc>
        <w:tc>
          <w:tcPr>
            <w:tcW w:w="10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39,080</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6" w:name="page7"/>
    <w:bookmarkEnd w:id="6"/>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ind w:right="34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nine months ended September 30, 2016 and 2015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6840" w:type="dxa"/>
            <w:vAlign w:val="bottom"/>
          </w:tcPr>
          <w:p>
            <w:pPr>
              <w:spacing w:after="0"/>
              <w:rPr>
                <w:sz w:val="20"/>
                <w:szCs w:val="20"/>
                <w:color w:val="auto"/>
              </w:rPr>
            </w:pPr>
          </w:p>
        </w:tc>
        <w:tc>
          <w:tcPr>
            <w:tcW w:w="128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Notes</w:t>
            </w: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840" w:type="dxa"/>
            <w:vAlign w:val="bottom"/>
          </w:tcPr>
          <w:p>
            <w:pPr>
              <w:spacing w:after="0"/>
              <w:rPr>
                <w:sz w:val="18"/>
                <w:szCs w:val="18"/>
                <w:color w:val="auto"/>
              </w:rPr>
            </w:pPr>
          </w:p>
        </w:tc>
        <w:tc>
          <w:tcPr>
            <w:tcW w:w="116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73,701</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80,758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84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8"/>
                <w:szCs w:val="18"/>
                <w:color w:val="auto"/>
              </w:rPr>
              <w:t>Items that are or may be reclassified to consolidated statement of profit or loss:</w:t>
            </w:r>
          </w:p>
        </w:tc>
        <w:tc>
          <w:tcPr>
            <w:tcW w:w="1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840" w:type="dxa"/>
            <w:vAlign w:val="bottom"/>
          </w:tcPr>
          <w:p>
            <w:pPr>
              <w:spacing w:after="0"/>
              <w:rPr>
                <w:sz w:val="20"/>
                <w:szCs w:val="20"/>
                <w:color w:val="auto"/>
              </w:rPr>
            </w:pPr>
            <w:r>
              <w:rPr>
                <w:rFonts w:ascii="Arial" w:cs="Arial" w:eastAsia="Arial" w:hAnsi="Arial"/>
                <w:sz w:val="18"/>
                <w:szCs w:val="18"/>
                <w:color w:val="auto"/>
              </w:rPr>
              <w:t>Net change in unrealized losses on financial instruments at fair value through OCI</w:t>
            </w:r>
          </w:p>
        </w:tc>
        <w:tc>
          <w:tcPr>
            <w:tcW w:w="1160" w:type="dxa"/>
            <w:vAlign w:val="bottom"/>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tcPr>
          <w:p>
            <w:pPr>
              <w:spacing w:after="0"/>
              <w:rPr>
                <w:sz w:val="18"/>
                <w:szCs w:val="18"/>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8,250</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(3,582)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840" w:type="dxa"/>
            <w:vAlign w:val="bottom"/>
            <w:shd w:val="clear" w:color="auto" w:fill="CCEEFF"/>
          </w:tcPr>
          <w:p>
            <w:pPr>
              <w:spacing w:after="0"/>
              <w:rPr>
                <w:sz w:val="20"/>
                <w:szCs w:val="20"/>
                <w:color w:val="auto"/>
              </w:rPr>
            </w:pPr>
            <w:r>
              <w:rPr>
                <w:rFonts w:ascii="Arial" w:cs="Arial" w:eastAsia="Arial" w:hAnsi="Arial"/>
                <w:sz w:val="18"/>
                <w:szCs w:val="18"/>
                <w:color w:val="auto"/>
              </w:rPr>
              <w:t>Net change in unrealized losses on derivative financial instruments</w:t>
            </w:r>
          </w:p>
        </w:tc>
        <w:tc>
          <w:tcPr>
            <w:tcW w:w="11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shd w:val="clear" w:color="auto" w:fill="CCEEFF"/>
          </w:tcPr>
          <w:p>
            <w:pPr>
              <w:spacing w:after="0"/>
              <w:rPr>
                <w:sz w:val="19"/>
                <w:szCs w:val="19"/>
                <w:color w:val="auto"/>
              </w:rPr>
            </w:pPr>
          </w:p>
        </w:tc>
        <w:tc>
          <w:tcPr>
            <w:tcW w:w="1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(1,953)</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(2,151)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8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w:t>
            </w:r>
          </w:p>
        </w:tc>
        <w:tc>
          <w:tcPr>
            <w:tcW w:w="116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14</w:t>
            </w:r>
          </w:p>
        </w:tc>
        <w:tc>
          <w:tcPr>
            <w:tcW w:w="1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6,297</w:t>
            </w:r>
          </w:p>
        </w:tc>
        <w:tc>
          <w:tcPr>
            <w:tcW w:w="220" w:type="dxa"/>
            <w:vAlign w:val="bottom"/>
            <w:tcBorders>
              <w:bottom w:val="single" w:sz="8" w:color="CCEEFF"/>
            </w:tcBorders>
          </w:tcPr>
          <w:p>
            <w:pPr>
              <w:spacing w:after="0"/>
              <w:rPr>
                <w:sz w:val="18"/>
                <w:szCs w:val="18"/>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(5,733</w:t>
            </w:r>
          </w:p>
        </w:tc>
        <w:tc>
          <w:tcPr>
            <w:tcW w:w="100" w:type="dxa"/>
            <w:vAlign w:val="bottom"/>
            <w:tcBorders>
              <w:bottom w:val="single" w:sz="8" w:color="CCEEFF"/>
            </w:tcBorders>
            <w:gridSpan w:val="2"/>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84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6840" w:type="dxa"/>
            <w:vAlign w:val="bottom"/>
          </w:tcPr>
          <w:p>
            <w:pPr>
              <w:spacing w:after="0"/>
              <w:rPr>
                <w:sz w:val="20"/>
                <w:szCs w:val="20"/>
                <w:color w:val="auto"/>
              </w:rPr>
            </w:pPr>
            <w:r>
              <w:rPr>
                <w:rFonts w:ascii="Arial" w:cs="Arial" w:eastAsia="Arial" w:hAnsi="Arial"/>
                <w:sz w:val="18"/>
                <w:szCs w:val="18"/>
                <w:color w:val="auto"/>
              </w:rPr>
              <w:t>Total comprehensive income for the period</w:t>
            </w:r>
          </w:p>
        </w:tc>
        <w:tc>
          <w:tcPr>
            <w:tcW w:w="11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700" w:type="dxa"/>
            <w:vAlign w:val="bottom"/>
            <w:gridSpan w:val="2"/>
          </w:tcPr>
          <w:p>
            <w:pPr>
              <w:jc w:val="right"/>
              <w:ind w:right="220"/>
              <w:spacing w:after="0"/>
              <w:rPr>
                <w:sz w:val="20"/>
                <w:szCs w:val="20"/>
                <w:color w:val="auto"/>
              </w:rPr>
            </w:pPr>
            <w:r>
              <w:rPr>
                <w:rFonts w:ascii="Arial" w:cs="Arial" w:eastAsia="Arial" w:hAnsi="Arial"/>
                <w:sz w:val="18"/>
                <w:szCs w:val="18"/>
                <w:color w:val="auto"/>
              </w:rPr>
              <w:t>79,998</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75,025</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84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7" w:name="page8"/>
    <w:bookmarkEnd w:id="7"/>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ind w:right="57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equity For the nine months ended September 30, 2016 and 2015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53"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0" w:type="dxa"/>
            <w:vAlign w:val="bottom"/>
          </w:tcPr>
          <w:p>
            <w:pPr>
              <w:spacing w:after="0"/>
              <w:rPr>
                <w:sz w:val="14"/>
                <w:szCs w:val="14"/>
                <w:color w:val="auto"/>
              </w:rPr>
            </w:pPr>
          </w:p>
        </w:tc>
        <w:tc>
          <w:tcPr>
            <w:tcW w:w="390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6"/>
              </w:rPr>
              <w:t>Additional paid-</w:t>
            </w:r>
          </w:p>
        </w:tc>
        <w:tc>
          <w:tcPr>
            <w:tcW w:w="7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3"/>
              </w:rPr>
              <w:t>in capital in</w:t>
            </w: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60" w:type="dxa"/>
            <w:vAlign w:val="bottom"/>
            <w:gridSpan w:val="2"/>
            <w:vMerge w:val="restart"/>
          </w:tcPr>
          <w:p>
            <w:pPr>
              <w:jc w:val="right"/>
              <w:ind w:right="259"/>
              <w:spacing w:after="0"/>
              <w:rPr>
                <w:sz w:val="20"/>
                <w:szCs w:val="20"/>
                <w:color w:val="auto"/>
              </w:rPr>
            </w:pPr>
            <w:r>
              <w:rPr>
                <w:rFonts w:ascii="Arial" w:cs="Arial" w:eastAsia="Arial" w:hAnsi="Arial"/>
                <w:sz w:val="14"/>
                <w:szCs w:val="14"/>
                <w:b w:val="1"/>
                <w:bCs w:val="1"/>
                <w:color w:val="auto"/>
                <w:w w:val="95"/>
              </w:rPr>
              <w:t>Accumulated</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81"/>
              </w:rPr>
              <w:t>excess of</w:t>
            </w: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60" w:type="dxa"/>
            <w:vAlign w:val="bottom"/>
            <w:gridSpan w:val="2"/>
            <w:vMerge w:val="continue"/>
          </w:tcPr>
          <w:p>
            <w:pPr>
              <w:spacing w:after="0"/>
              <w:rPr>
                <w:sz w:val="12"/>
                <w:szCs w:val="12"/>
                <w:color w:val="auto"/>
              </w:rPr>
            </w:pP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2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assigned value</w:t>
            </w:r>
          </w:p>
        </w:tc>
        <w:tc>
          <w:tcPr>
            <w:tcW w:w="98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Capital</w:t>
            </w:r>
          </w:p>
        </w:tc>
        <w:tc>
          <w:tcPr>
            <w:tcW w:w="98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Retained</w:t>
            </w:r>
          </w:p>
        </w:tc>
        <w:tc>
          <w:tcPr>
            <w:tcW w:w="1160" w:type="dxa"/>
            <w:vAlign w:val="bottom"/>
            <w:gridSpan w:val="2"/>
          </w:tcPr>
          <w:p>
            <w:pPr>
              <w:jc w:val="right"/>
              <w:ind w:right="499"/>
              <w:spacing w:after="0" w:line="149" w:lineRule="exact"/>
              <w:rPr>
                <w:sz w:val="20"/>
                <w:szCs w:val="20"/>
                <w:color w:val="auto"/>
              </w:rPr>
            </w:pPr>
            <w:r>
              <w:rPr>
                <w:rFonts w:ascii="Arial" w:cs="Arial" w:eastAsia="Arial" w:hAnsi="Arial"/>
                <w:sz w:val="14"/>
                <w:szCs w:val="14"/>
                <w:b w:val="1"/>
                <w:bCs w:val="1"/>
                <w:color w:val="auto"/>
              </w:rPr>
              <w:t>other</w:t>
            </w:r>
          </w:p>
        </w:tc>
        <w:tc>
          <w:tcPr>
            <w:tcW w:w="8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rPr>
                <w:sz w:val="12"/>
                <w:szCs w:val="12"/>
                <w:color w:val="auto"/>
              </w:rPr>
            </w:pPr>
          </w:p>
        </w:tc>
        <w:tc>
          <w:tcPr>
            <w:tcW w:w="1140" w:type="dxa"/>
            <w:vAlign w:val="bottom"/>
            <w:gridSpan w:val="2"/>
            <w:vMerge w:val="restart"/>
          </w:tcPr>
          <w:p>
            <w:pPr>
              <w:jc w:val="right"/>
              <w:ind w:right="220"/>
              <w:spacing w:after="0"/>
              <w:rPr>
                <w:sz w:val="20"/>
                <w:szCs w:val="20"/>
                <w:color w:val="auto"/>
              </w:rPr>
            </w:pPr>
            <w:r>
              <w:rPr>
                <w:rFonts w:ascii="Arial" w:cs="Arial" w:eastAsia="Arial" w:hAnsi="Arial"/>
                <w:sz w:val="14"/>
                <w:szCs w:val="14"/>
                <w:b w:val="1"/>
                <w:bCs w:val="1"/>
                <w:color w:val="auto"/>
                <w:w w:val="88"/>
              </w:rPr>
              <w:t>Common stock</w:t>
            </w:r>
          </w:p>
        </w:tc>
        <w:tc>
          <w:tcPr>
            <w:tcW w:w="1120" w:type="dxa"/>
            <w:vAlign w:val="bottom"/>
            <w:gridSpan w:val="2"/>
            <w:vMerge w:val="restart"/>
          </w:tcPr>
          <w:p>
            <w:pPr>
              <w:jc w:val="right"/>
              <w:ind w:right="148"/>
              <w:spacing w:after="0"/>
              <w:rPr>
                <w:sz w:val="20"/>
                <w:szCs w:val="20"/>
                <w:color w:val="auto"/>
              </w:rPr>
            </w:pPr>
            <w:r>
              <w:rPr>
                <w:rFonts w:ascii="Arial" w:cs="Arial" w:eastAsia="Arial" w:hAnsi="Arial"/>
                <w:sz w:val="14"/>
                <w:szCs w:val="14"/>
                <w:b w:val="1"/>
                <w:bCs w:val="1"/>
                <w:color w:val="auto"/>
                <w:w w:val="88"/>
              </w:rPr>
              <w:t>Treasury stock</w:t>
            </w:r>
          </w:p>
        </w:tc>
        <w:tc>
          <w:tcPr>
            <w:tcW w:w="122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0"/>
              </w:rPr>
              <w:t>of common</w:t>
            </w:r>
          </w:p>
        </w:tc>
        <w:tc>
          <w:tcPr>
            <w:tcW w:w="980" w:type="dxa"/>
            <w:vAlign w:val="bottom"/>
            <w:gridSpan w:val="2"/>
            <w:vMerge w:val="continue"/>
          </w:tcPr>
          <w:p>
            <w:pPr>
              <w:spacing w:after="0"/>
              <w:rPr>
                <w:sz w:val="12"/>
                <w:szCs w:val="12"/>
                <w:color w:val="auto"/>
              </w:rPr>
            </w:pPr>
          </w:p>
        </w:tc>
        <w:tc>
          <w:tcPr>
            <w:tcW w:w="980" w:type="dxa"/>
            <w:vAlign w:val="bottom"/>
            <w:gridSpan w:val="2"/>
            <w:vMerge w:val="continue"/>
          </w:tcPr>
          <w:p>
            <w:pPr>
              <w:spacing w:after="0"/>
              <w:rPr>
                <w:sz w:val="12"/>
                <w:szCs w:val="12"/>
                <w:color w:val="auto"/>
              </w:rPr>
            </w:pPr>
          </w:p>
        </w:tc>
        <w:tc>
          <w:tcPr>
            <w:tcW w:w="1160" w:type="dxa"/>
            <w:vAlign w:val="bottom"/>
            <w:gridSpan w:val="2"/>
          </w:tcPr>
          <w:p>
            <w:pPr>
              <w:jc w:val="right"/>
              <w:ind w:right="179"/>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90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3900" w:type="dxa"/>
            <w:vAlign w:val="bottom"/>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1120" w:type="dxa"/>
            <w:vAlign w:val="bottom"/>
            <w:gridSpan w:val="2"/>
            <w:vMerge w:val="continue"/>
          </w:tcPr>
          <w:p>
            <w:pPr>
              <w:spacing w:after="0"/>
              <w:rPr>
                <w:sz w:val="14"/>
                <w:szCs w:val="14"/>
                <w:color w:val="auto"/>
              </w:rPr>
            </w:pPr>
          </w:p>
        </w:tc>
        <w:tc>
          <w:tcPr>
            <w:tcW w:w="12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ind w:left="120"/>
              <w:spacing w:after="0"/>
              <w:rPr>
                <w:sz w:val="20"/>
                <w:szCs w:val="20"/>
                <w:color w:val="auto"/>
              </w:rPr>
            </w:pPr>
            <w:r>
              <w:rPr>
                <w:rFonts w:ascii="Arial" w:cs="Arial" w:eastAsia="Arial" w:hAnsi="Arial"/>
                <w:sz w:val="14"/>
                <w:szCs w:val="14"/>
                <w:b w:val="1"/>
                <w:bCs w:val="1"/>
                <w:color w:val="auto"/>
              </w:rPr>
              <w:t>reserves</w:t>
            </w:r>
          </w:p>
        </w:tc>
        <w:tc>
          <w:tcPr>
            <w:tcW w:w="98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rPr>
              <w:t>earnings</w:t>
            </w:r>
          </w:p>
        </w:tc>
        <w:tc>
          <w:tcPr>
            <w:tcW w:w="1160" w:type="dxa"/>
            <w:vAlign w:val="bottom"/>
            <w:gridSpan w:val="2"/>
          </w:tcPr>
          <w:p>
            <w:pPr>
              <w:jc w:val="right"/>
              <w:ind w:right="239"/>
              <w:spacing w:after="0"/>
              <w:rPr>
                <w:sz w:val="20"/>
                <w:szCs w:val="20"/>
                <w:color w:val="auto"/>
              </w:rPr>
            </w:pPr>
            <w:r>
              <w:rPr>
                <w:rFonts w:ascii="Arial" w:cs="Arial" w:eastAsia="Arial" w:hAnsi="Arial"/>
                <w:sz w:val="14"/>
                <w:szCs w:val="14"/>
                <w:b w:val="1"/>
                <w:bCs w:val="1"/>
                <w:color w:val="auto"/>
                <w:w w:val="95"/>
              </w:rPr>
              <w:t>income (loss)</w:t>
            </w:r>
          </w:p>
        </w:tc>
        <w:tc>
          <w:tcPr>
            <w:tcW w:w="90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900" w:type="dxa"/>
            <w:vAlign w:val="bottom"/>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2015</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11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(77,627)</w:t>
            </w: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119,644</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501,669</w:t>
            </w:r>
          </w:p>
        </w:tc>
        <w:tc>
          <w:tcPr>
            <w:tcW w:w="11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(7,837)</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911,039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80,758</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80,758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(5,733)</w:t>
            </w: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(5,733)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1,259</w:t>
            </w:r>
          </w:p>
        </w:tc>
        <w:tc>
          <w:tcPr>
            <w:tcW w:w="12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(1,259)</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Compensation cost - stock options and stock units plans</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2,457</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2,971</w:t>
            </w:r>
          </w:p>
        </w:tc>
        <w:tc>
          <w:tcPr>
            <w:tcW w:w="12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(1,504)</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1,467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(30,005)</w:t>
            </w:r>
          </w:p>
        </w:tc>
        <w:tc>
          <w:tcPr>
            <w:tcW w:w="116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(30,005)</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90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Balances at September 30, 2015</w:t>
            </w: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279,980</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(73,397</w:t>
            </w:r>
          </w:p>
        </w:tc>
        <w:tc>
          <w:tcPr>
            <w:tcW w:w="220" w:type="dxa"/>
            <w:vAlign w:val="bottom"/>
            <w:tcBorders>
              <w:bottom w:val="single" w:sz="8" w:color="CCEEFF"/>
            </w:tcBorders>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119,338</w:t>
            </w:r>
          </w:p>
        </w:tc>
        <w:tc>
          <w:tcPr>
            <w:tcW w:w="220" w:type="dxa"/>
            <w:vAlign w:val="bottom"/>
            <w:tcBorders>
              <w:bottom w:val="single" w:sz="8" w:color="CCEEFF"/>
            </w:tcBorders>
          </w:tcPr>
          <w:p>
            <w:pPr>
              <w:spacing w:after="0"/>
              <w:rPr>
                <w:sz w:val="17"/>
                <w:szCs w:val="17"/>
                <w:color w:val="auto"/>
              </w:rPr>
            </w:pPr>
          </w:p>
        </w:tc>
        <w:tc>
          <w:tcPr>
            <w:tcW w:w="7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bottom w:val="single" w:sz="8" w:color="CCEEFF"/>
            </w:tcBorders>
          </w:tcPr>
          <w:p>
            <w:pPr>
              <w:spacing w:after="0"/>
              <w:rPr>
                <w:sz w:val="17"/>
                <w:szCs w:val="17"/>
                <w:color w:val="auto"/>
              </w:rPr>
            </w:pP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552,422</w:t>
            </w:r>
          </w:p>
        </w:tc>
        <w:tc>
          <w:tcPr>
            <w:tcW w:w="200" w:type="dxa"/>
            <w:vAlign w:val="bottom"/>
            <w:tcBorders>
              <w:bottom w:val="single" w:sz="8" w:color="CCEEFF"/>
            </w:tcBorders>
          </w:tcPr>
          <w:p>
            <w:pPr>
              <w:spacing w:after="0"/>
              <w:rPr>
                <w:sz w:val="17"/>
                <w:szCs w:val="17"/>
                <w:color w:val="auto"/>
              </w:rPr>
            </w:pPr>
          </w:p>
        </w:tc>
        <w:tc>
          <w:tcPr>
            <w:tcW w:w="9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(13,570</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959,983</w:t>
            </w:r>
          </w:p>
        </w:tc>
        <w:tc>
          <w:tcPr>
            <w:tcW w:w="10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9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b w:val="1"/>
                <w:bCs w:val="1"/>
                <w:color w:val="auto"/>
              </w:rPr>
              <w:t>Balances at January 1, 2016</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11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(73,397)</w:t>
            </w: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120,177</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560,642</w:t>
            </w:r>
          </w:p>
        </w:tc>
        <w:tc>
          <w:tcPr>
            <w:tcW w:w="116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(10,681)</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971,931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73,701</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73,701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Other comprehensive income</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6,297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6,297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Issuance of restricted stock</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1,259</w:t>
            </w:r>
          </w:p>
        </w:tc>
        <w:tc>
          <w:tcPr>
            <w:tcW w:w="12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(1,259)</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tcPr>
          <w:p>
            <w:pPr>
              <w:spacing w:after="0" w:line="149" w:lineRule="exact"/>
              <w:rPr>
                <w:sz w:val="20"/>
                <w:szCs w:val="20"/>
                <w:color w:val="auto"/>
              </w:rPr>
            </w:pPr>
            <w:r>
              <w:rPr>
                <w:rFonts w:ascii="Arial" w:cs="Arial" w:eastAsia="Arial" w:hAnsi="Arial"/>
                <w:sz w:val="14"/>
                <w:szCs w:val="14"/>
                <w:color w:val="auto"/>
              </w:rPr>
              <w:t>Compensation cost - stock options and stock units plans</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2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2,480</w:t>
            </w:r>
          </w:p>
        </w:tc>
        <w:tc>
          <w:tcPr>
            <w:tcW w:w="9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2,480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2,953</w:t>
            </w:r>
          </w:p>
        </w:tc>
        <w:tc>
          <w:tcPr>
            <w:tcW w:w="12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(1,387)</w:t>
            </w:r>
          </w:p>
        </w:tc>
        <w:tc>
          <w:tcPr>
            <w:tcW w:w="9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159"/>
              <w:spacing w:after="0" w:line="149" w:lineRule="exact"/>
              <w:rPr>
                <w:sz w:val="20"/>
                <w:szCs w:val="20"/>
                <w:color w:val="auto"/>
              </w:rPr>
            </w:pPr>
            <w:r>
              <w:rPr>
                <w:rFonts w:ascii="Arial" w:cs="Arial" w:eastAsia="Arial" w:hAnsi="Arial"/>
                <w:sz w:val="14"/>
                <w:szCs w:val="14"/>
                <w:color w:val="auto"/>
              </w:rPr>
              <w:t>-</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1,566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tcPr>
          <w:p>
            <w:pPr>
              <w:spacing w:after="0"/>
              <w:rPr>
                <w:sz w:val="20"/>
                <w:szCs w:val="20"/>
                <w:color w:val="auto"/>
              </w:rPr>
            </w:pPr>
            <w:r>
              <w:rPr>
                <w:rFonts w:ascii="Arial" w:cs="Arial" w:eastAsia="Arial" w:hAnsi="Arial"/>
                <w:sz w:val="14"/>
                <w:szCs w:val="14"/>
                <w:color w:val="auto"/>
              </w:rPr>
              <w:t>Dividends declared</w:t>
            </w:r>
          </w:p>
        </w:tc>
        <w:tc>
          <w:tcPr>
            <w:tcW w:w="11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(45,104)</w:t>
            </w:r>
          </w:p>
        </w:tc>
        <w:tc>
          <w:tcPr>
            <w:tcW w:w="1160" w:type="dxa"/>
            <w:vAlign w:val="bottom"/>
            <w:gridSpan w:val="2"/>
          </w:tcPr>
          <w:p>
            <w:pPr>
              <w:jc w:val="right"/>
              <w:ind w:right="159"/>
              <w:spacing w:after="0"/>
              <w:rPr>
                <w:sz w:val="20"/>
                <w:szCs w:val="20"/>
                <w:color w:val="auto"/>
              </w:rPr>
            </w:pPr>
            <w:r>
              <w:rPr>
                <w:rFonts w:ascii="Arial" w:cs="Arial" w:eastAsia="Arial" w:hAnsi="Arial"/>
                <w:sz w:val="14"/>
                <w:szCs w:val="14"/>
                <w:color w:val="auto"/>
              </w:rPr>
              <w:t>-</w:t>
            </w:r>
          </w:p>
        </w:tc>
        <w:tc>
          <w:tcPr>
            <w:tcW w:w="900" w:type="dxa"/>
            <w:vAlign w:val="bottom"/>
            <w:gridSpan w:val="2"/>
          </w:tcPr>
          <w:p>
            <w:pPr>
              <w:jc w:val="right"/>
              <w:ind w:right="60"/>
              <w:spacing w:after="0"/>
              <w:rPr>
                <w:sz w:val="20"/>
                <w:szCs w:val="20"/>
                <w:color w:val="auto"/>
              </w:rPr>
            </w:pPr>
            <w:r>
              <w:rPr>
                <w:rFonts w:ascii="Arial" w:cs="Arial" w:eastAsia="Arial" w:hAnsi="Arial"/>
                <w:sz w:val="14"/>
                <w:szCs w:val="14"/>
                <w:color w:val="auto"/>
              </w:rPr>
              <w:t>(45,104)</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b w:val="1"/>
                <w:bCs w:val="1"/>
                <w:color w:val="auto"/>
              </w:rPr>
              <w:t>Balances at September 30, 2016</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279,980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(69,185</w:t>
            </w:r>
          </w:p>
        </w:tc>
        <w:tc>
          <w:tcPr>
            <w:tcW w:w="220" w:type="dxa"/>
            <w:vAlign w:val="bottom"/>
            <w:tcBorders>
              <w:top w:val="single" w:sz="8" w:color="CCEEFF"/>
              <w:bottom w:val="single" w:sz="8" w:color="CCEEFF"/>
            </w:tcBorders>
            <w:shd w:val="clear" w:color="auto" w:fill="CCEEFF"/>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10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120,011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95,210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589,239</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(4,384</w:t>
            </w:r>
          </w:p>
        </w:tc>
        <w:tc>
          <w:tcPr>
            <w:tcW w:w="200" w:type="dxa"/>
            <w:vAlign w:val="bottom"/>
            <w:tcBorders>
              <w:top w:val="single" w:sz="8" w:color="CCEEFF"/>
              <w:bottom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8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1,010,871</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9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8" w:name="page9"/>
    <w:bookmarkEnd w:id="8"/>
    <w:p>
      <w:pPr>
        <w:spacing w:after="0"/>
        <w:rPr>
          <w:sz w:val="20"/>
          <w:szCs w:val="20"/>
          <w:color w:val="auto"/>
        </w:rPr>
      </w:pPr>
      <w:r>
        <w:rPr>
          <w:rFonts w:ascii="Arial" w:cs="Arial" w:eastAsia="Arial" w:hAnsi="Arial"/>
          <w:sz w:val="22"/>
          <w:szCs w:val="22"/>
          <w:b w:val="1"/>
          <w:bCs w:val="1"/>
          <w:color w:val="auto"/>
        </w:rPr>
        <w:t>Banco Latinoamericano de Comercio Exterior, S. A. and Subsidiaries</w:t>
      </w:r>
    </w:p>
    <w:p>
      <w:pPr>
        <w:spacing w:after="0" w:line="2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2016 and 2015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100" w:type="dxa"/>
            <w:vAlign w:val="bottom"/>
          </w:tcPr>
          <w:p>
            <w:pPr>
              <w:spacing w:after="0"/>
              <w:rPr>
                <w:sz w:val="20"/>
                <w:szCs w:val="20"/>
                <w:color w:val="auto"/>
              </w:rPr>
            </w:pPr>
          </w:p>
        </w:tc>
        <w:tc>
          <w:tcPr>
            <w:tcW w:w="150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10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Profit for the period</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73,701</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80,758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Adjustments to reconcile profit for the period to net cash provided by operating activities:</w:t>
            </w: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Activities of derivative financial instruments and hedging</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(18,947)</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(22,245)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1,039</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Amortization of intangible assets</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425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416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17,408</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(10,854)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Net gain (loss) on sale of financial assets at fair value through OCI</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246</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(363)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2,480</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Interest income</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(184,453)</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(162,186)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66,924</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54,485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pledged deposits</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(3,385)</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5,355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53,383</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(1,850)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(increase) in loans at amortized cost</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298,665</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(55,573)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Other assets</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4,044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110,146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Net increase due to depositors</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330,536</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608,814</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(89)</w:t>
            </w: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Other liabilities</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(16,850)</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(129,390)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Cash provided by operating activities:</w:t>
            </w: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ind w:left="180"/>
              <w:spacing w:after="0"/>
              <w:rPr>
                <w:sz w:val="20"/>
                <w:szCs w:val="20"/>
                <w:color w:val="auto"/>
              </w:rPr>
            </w:pPr>
            <w:r>
              <w:rPr>
                <w:rFonts w:ascii="Arial" w:cs="Arial" w:eastAsia="Arial" w:hAnsi="Arial"/>
                <w:sz w:val="18"/>
                <w:szCs w:val="18"/>
                <w:color w:val="auto"/>
              </w:rPr>
              <w:t>Interest received</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184,608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171,631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paid</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(62,640)</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(46,812)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Net cash provided by operating activities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747,095</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605,883</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81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(1,520)</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Acquisition of intangible assets</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(3,084)</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Proceeds from the redemption of of financial instruments at fair value through OCI</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77,286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126,090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Proceeds from the sale of financial instruments at fair value through OCI</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107,888</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68,099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Proceeds from maturities of financial instruments at amortized cost</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44,075</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29,923</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Purchases of financial instruments at fair value through OCI</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(91,972)</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(87,692)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Purchases of financial instruments at amortized cost</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(23,713)</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(35,082)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108,960</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100,911</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81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Net decrease in short-term borrowings and debt and securities sold under repurchase agreements</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(1,310,550)</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(931,125)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720" w:type="dxa"/>
            <w:vAlign w:val="bottom"/>
            <w:gridSpan w:val="2"/>
          </w:tcPr>
          <w:p>
            <w:pPr>
              <w:jc w:val="right"/>
              <w:ind w:right="220"/>
              <w:spacing w:after="0"/>
              <w:rPr>
                <w:sz w:val="20"/>
                <w:szCs w:val="20"/>
                <w:color w:val="auto"/>
              </w:rPr>
            </w:pPr>
            <w:r>
              <w:rPr>
                <w:rFonts w:ascii="Arial" w:cs="Arial" w:eastAsia="Arial" w:hAnsi="Arial"/>
                <w:sz w:val="18"/>
                <w:szCs w:val="18"/>
                <w:color w:val="auto"/>
              </w:rPr>
              <w:t>374,859</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811,276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7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(425,301)</w:t>
            </w:r>
          </w:p>
        </w:tc>
        <w:tc>
          <w:tcPr>
            <w:tcW w:w="15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(429,004)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Dividends paid</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(45,104)</w:t>
            </w:r>
          </w:p>
        </w:tc>
        <w:tc>
          <w:tcPr>
            <w:tcW w:w="1580" w:type="dxa"/>
            <w:vAlign w:val="bottom"/>
            <w:gridSpan w:val="3"/>
          </w:tcPr>
          <w:p>
            <w:pPr>
              <w:jc w:val="right"/>
              <w:ind w:right="40"/>
              <w:spacing w:after="0"/>
              <w:rPr>
                <w:sz w:val="20"/>
                <w:szCs w:val="20"/>
                <w:color w:val="auto"/>
              </w:rPr>
            </w:pPr>
            <w:r>
              <w:rPr>
                <w:rFonts w:ascii="Arial" w:cs="Arial" w:eastAsia="Arial" w:hAnsi="Arial"/>
                <w:sz w:val="18"/>
                <w:szCs w:val="18"/>
                <w:color w:val="auto"/>
              </w:rPr>
              <w:t>(30,005)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1,566</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1,467</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Net cash used in financing activities</w:t>
            </w:r>
          </w:p>
        </w:tc>
        <w:tc>
          <w:tcPr>
            <w:tcW w:w="15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(1,404,530)</w:t>
            </w:r>
          </w:p>
        </w:tc>
        <w:tc>
          <w:tcPr>
            <w:tcW w:w="220" w:type="dxa"/>
            <w:vAlign w:val="bottom"/>
          </w:tcPr>
          <w:p>
            <w:pPr>
              <w:spacing w:after="0"/>
              <w:rPr>
                <w:sz w:val="18"/>
                <w:szCs w:val="18"/>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(577,391)</w:t>
            </w:r>
          </w:p>
        </w:tc>
        <w:tc>
          <w:tcPr>
            <w:tcW w:w="100" w:type="dxa"/>
            <w:vAlign w:val="bottom"/>
            <w:gridSpan w:val="2"/>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81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100" w:type="dxa"/>
            <w:vAlign w:val="bottom"/>
          </w:tcPr>
          <w:p>
            <w:pPr>
              <w:spacing w:after="0"/>
              <w:rPr>
                <w:sz w:val="20"/>
                <w:szCs w:val="20"/>
                <w:color w:val="auto"/>
              </w:rPr>
            </w:pPr>
            <w:r>
              <w:rPr>
                <w:rFonts w:ascii="Arial" w:cs="Arial" w:eastAsia="Arial" w:hAnsi="Arial"/>
                <w:sz w:val="18"/>
                <w:szCs w:val="18"/>
                <w:color w:val="auto"/>
              </w:rPr>
              <w:t>Net (decrease) increase in cash and cash equivalents</w:t>
            </w:r>
          </w:p>
        </w:tc>
        <w:tc>
          <w:tcPr>
            <w:tcW w:w="1720" w:type="dxa"/>
            <w:vAlign w:val="bottom"/>
            <w:gridSpan w:val="2"/>
          </w:tcPr>
          <w:p>
            <w:pPr>
              <w:jc w:val="right"/>
              <w:ind w:right="160"/>
              <w:spacing w:after="0"/>
              <w:rPr>
                <w:sz w:val="20"/>
                <w:szCs w:val="20"/>
                <w:color w:val="auto"/>
              </w:rPr>
            </w:pPr>
            <w:r>
              <w:rPr>
                <w:rFonts w:ascii="Arial" w:cs="Arial" w:eastAsia="Arial" w:hAnsi="Arial"/>
                <w:sz w:val="18"/>
                <w:szCs w:val="18"/>
                <w:color w:val="auto"/>
              </w:rPr>
              <w:t>(548,475)</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129,403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7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1,267,302</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741,305</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10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718,827</w:t>
            </w:r>
          </w:p>
        </w:tc>
        <w:tc>
          <w:tcPr>
            <w:tcW w:w="220" w:type="dxa"/>
            <w:vAlign w:val="bottom"/>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870,708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1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895" w:right="239" w:bottom="1440" w:gutter="0" w:footer="0" w:header="0"/>
        </w:sectPr>
      </w:pPr>
    </w:p>
    <w:bookmarkStart w:id="9" w:name="page10"/>
    <w:bookmarkEnd w:id="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50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67"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820" w:hanging="326"/>
        <w:spacing w:after="0" w:line="308" w:lineRule="auto"/>
        <w:tabs>
          <w:tab w:leader="none" w:pos="8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Holdings Inc. a wholly owned subsidiary, incorporated under the laws of the State of Delaware, United States of America (USA), on May 30, 2000. Bladex Holdings Inc. has ownership in two subsidiaries: Bladex Representacao Ltda. and Bladex Investimentos Ltda.</w:t>
      </w:r>
    </w:p>
    <w:p>
      <w:pPr>
        <w:spacing w:after="0" w:line="146" w:lineRule="exact"/>
        <w:rPr>
          <w:rFonts w:ascii="Arial" w:cs="Arial" w:eastAsia="Arial" w:hAnsi="Arial"/>
          <w:sz w:val="17"/>
          <w:szCs w:val="17"/>
          <w:color w:val="auto"/>
        </w:rPr>
      </w:pPr>
    </w:p>
    <w:p>
      <w:pPr>
        <w:ind w:left="820" w:right="20" w:hanging="326"/>
        <w:spacing w:after="0" w:line="308" w:lineRule="auto"/>
        <w:tabs>
          <w:tab w:leader="none" w:pos="82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820" w:hanging="326"/>
        <w:spacing w:after="0" w:line="297" w:lineRule="auto"/>
        <w:tabs>
          <w:tab w:leader="none" w:pos="820" w:val="left"/>
        </w:tabs>
        <w:numPr>
          <w:ilvl w:val="1"/>
          <w:numId w:val="1"/>
        </w:numPr>
        <w:rPr>
          <w:rFonts w:ascii="Arial" w:cs="Arial" w:eastAsia="Arial" w:hAnsi="Arial"/>
          <w:sz w:val="16"/>
          <w:szCs w:val="16"/>
          <w:color w:val="auto"/>
        </w:rPr>
      </w:pPr>
      <w:r>
        <w:rPr>
          <w:rFonts w:ascii="Arial" w:cs="Arial" w:eastAsia="Arial" w:hAnsi="Arial"/>
          <w:sz w:val="16"/>
          <w:szCs w:val="16"/>
          <w:color w:val="auto"/>
        </w:rPr>
        <w:t>Bladex Investimentos Ltda. was incorporated under the laws of Brazil on May 3, 2011. Bladex Head Office owned 99% of Bladex Investimentos Ltda., and Bladex Holdings Inc. owned the remaining 1%. This company had invested substantially all of its assets in an investment fund, Alpha 4x Latam Fundo de Investimento Multimercado, incorporated in Brazil (“the Brazilian Fund”), registered with the Brazilian Securities Commission (“CVM”, for its acronym in Portuguese). Bladex Investimentos Ltda. merged with Bladex Representacao Ltda. on April 2016, being the latter the extinct company under Brazilian law and prevailing the acquiring company Bladex Representacao Ltda.</w:t>
      </w:r>
    </w:p>
    <w:p>
      <w:pPr>
        <w:spacing w:after="0" w:line="158" w:lineRule="exact"/>
        <w:rPr>
          <w:rFonts w:ascii="Arial" w:cs="Arial" w:eastAsia="Arial" w:hAnsi="Arial"/>
          <w:sz w:val="16"/>
          <w:szCs w:val="16"/>
          <w:color w:val="auto"/>
        </w:rPr>
      </w:pPr>
    </w:p>
    <w:p>
      <w:pPr>
        <w:ind w:left="820" w:hanging="326"/>
        <w:spacing w:after="0" w:line="277" w:lineRule="auto"/>
        <w:tabs>
          <w:tab w:leader="none" w:pos="82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820" w:hanging="326"/>
        <w:spacing w:after="0" w:line="264" w:lineRule="auto"/>
        <w:tabs>
          <w:tab w:leader="none" w:pos="82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39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 (continued)</w:t>
      </w:r>
    </w:p>
    <w:p>
      <w:pPr>
        <w:spacing w:after="0" w:line="229" w:lineRule="exact"/>
        <w:rPr>
          <w:rFonts w:ascii="Arial" w:cs="Arial" w:eastAsia="Arial" w:hAnsi="Arial"/>
          <w:sz w:val="18"/>
          <w:szCs w:val="18"/>
          <w:b w:val="1"/>
          <w:bCs w:val="1"/>
          <w:color w:val="auto"/>
        </w:rPr>
      </w:pPr>
    </w:p>
    <w:p>
      <w:pPr>
        <w:jc w:val="both"/>
        <w:ind w:left="500" w:right="2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rFonts w:ascii="Arial" w:cs="Arial" w:eastAsia="Arial" w:hAnsi="Arial"/>
          <w:sz w:val="18"/>
          <w:szCs w:val="18"/>
          <w:b w:val="1"/>
          <w:bCs w:val="1"/>
          <w:color w:val="auto"/>
        </w:rPr>
      </w:pPr>
    </w:p>
    <w:p>
      <w:pPr>
        <w:ind w:left="500" w:right="360"/>
        <w:spacing w:after="0" w:line="561" w:lineRule="auto"/>
        <w:rPr>
          <w:rFonts w:ascii="Arial" w:cs="Arial" w:eastAsia="Arial" w:hAnsi="Arial"/>
          <w:sz w:val="18"/>
          <w:szCs w:val="18"/>
          <w:b w:val="1"/>
          <w:bCs w:val="1"/>
          <w:color w:val="auto"/>
        </w:rPr>
      </w:pPr>
      <w:r>
        <w:rPr>
          <w:rFonts w:ascii="Arial" w:cs="Arial" w:eastAsia="Arial" w:hAnsi="Arial"/>
          <w:sz w:val="16"/>
          <w:szCs w:val="16"/>
          <w:color w:val="auto"/>
        </w:rPr>
        <w:t>The Bank has representative offices in Buenos Aires, Argentina; in Mexico City, and Monterrey, Mexico; in Lima, Peru; and in Bogota, Colombia. These unaudited condensed consolidated interim financial statements were authorized for issue by the Board of Directors on October 18, 2016.</w:t>
      </w:r>
    </w:p>
    <w:p>
      <w:pPr>
        <w:ind w:left="500" w:right="6300" w:hanging="492"/>
        <w:spacing w:after="0" w:line="503" w:lineRule="auto"/>
        <w:tabs>
          <w:tab w:leader="none" w:pos="50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jc w:val="both"/>
        <w:ind w:left="50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 xml:space="preserve">These unaudited consolidated interim financial statements of Banco Latinoamericano de Comercio Exterior, S. A. and its subsidiaries have been prepared in accordance with International Accounting Standard 34 </w:t>
      </w:r>
      <w:r>
        <w:rPr>
          <w:rFonts w:ascii="Arial" w:cs="Arial" w:eastAsia="Arial" w:hAnsi="Arial"/>
          <w:sz w:val="17"/>
          <w:szCs w:val="17"/>
          <w:i w:val="1"/>
          <w:iCs w:val="1"/>
          <w:color w:val="auto"/>
        </w:rPr>
        <w:t>Interim Financial Reporting</w:t>
      </w:r>
      <w:r>
        <w:rPr>
          <w:rFonts w:ascii="Arial" w:cs="Arial" w:eastAsia="Arial" w:hAnsi="Arial"/>
          <w:sz w:val="17"/>
          <w:szCs w:val="17"/>
          <w:color w:val="auto"/>
        </w:rPr>
        <w:t xml:space="preserve"> (IAS 34) issued by the International Accounting Standards Board ("IASB"). As all of the disclosures required by IFRS for annual period consolidated financial statements are not included herein, these unaudited condensed consolidated interim financial statements should be read in conjunction with the audited consolidated financial statements and the notes thereto as of and for the year ended December 31, 2015, contained in the Bank’s annual audited consolidated financial statements. The unaudited condensed consolidated interim statements of profit or loss, profit or loss and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2.2.  Future changes in applicable accounting policies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standards and interpretations that are issued, but not yet effective, up to the date of issuance of the Bank financial statements are disclosed below. The Bank intends to adopt these standards, if applicable, when they become effective.</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IFRS 16 Leases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IFRS 16 was issued in January 2016 and sets out the principles for the recognition, measurement, presentation and disclosure of leases. The objective is to ensure that lessees and lessors provide relevant information in a manner that faithfully represents those transactions. IFRS 16 introduces a single lessee accounting model and requires a lessee to recognize assets and liabilities for all leases with a term of more than 12 months, unless the underlying asset is of low value.</w:t>
      </w:r>
    </w:p>
    <w:p>
      <w:pPr>
        <w:spacing w:after="0" w:line="186"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IFRS 16 is effective for annual periods beginning on or after January 1, 2019. Earlier application is permitted for entities that apply IFRS 15 Revenue from Contracts with Customers at or before the date of initial application of IFRS 16. IFRS 16 supersedes IAS 17 – Leases. The Bank is evaluating the potential impact of this new standard in its consolidated financial statements.</w:t>
      </w:r>
    </w:p>
    <w:p>
      <w:pPr>
        <w:spacing w:after="0" w:line="39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3.</w:t>
            </w:r>
          </w:p>
        </w:tc>
        <w:tc>
          <w:tcPr>
            <w:tcW w:w="7620" w:type="dxa"/>
            <w:vAlign w:val="bottom"/>
            <w:gridSpan w:val="2"/>
          </w:tcPr>
          <w:p>
            <w:pPr>
              <w:ind w:left="180"/>
              <w:spacing w:after="0"/>
              <w:rPr>
                <w:sz w:val="20"/>
                <w:szCs w:val="20"/>
                <w:color w:val="auto"/>
              </w:rPr>
            </w:pPr>
            <w:r>
              <w:rPr>
                <w:rFonts w:ascii="Arial" w:cs="Arial" w:eastAsia="Arial" w:hAnsi="Arial"/>
                <w:sz w:val="18"/>
                <w:szCs w:val="18"/>
                <w:b w:val="1"/>
                <w:bCs w:val="1"/>
                <w:color w:val="auto"/>
              </w:rPr>
              <w:t>Cash and cash equivalents</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440" w:type="dxa"/>
            <w:vAlign w:val="bottom"/>
          </w:tcPr>
          <w:p>
            <w:pPr>
              <w:spacing w:after="0"/>
              <w:rPr>
                <w:sz w:val="24"/>
                <w:szCs w:val="24"/>
                <w:color w:val="auto"/>
              </w:rPr>
            </w:pPr>
          </w:p>
        </w:tc>
        <w:tc>
          <w:tcPr>
            <w:tcW w:w="16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w w:val="99"/>
              </w:rPr>
              <w:t>September 30,</w:t>
            </w:r>
          </w:p>
        </w:tc>
        <w:tc>
          <w:tcPr>
            <w:tcW w:w="14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440" w:type="dxa"/>
            <w:vAlign w:val="bottom"/>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4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44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6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287,044</w:t>
            </w:r>
          </w:p>
        </w:tc>
        <w:tc>
          <w:tcPr>
            <w:tcW w:w="14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2,601</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467,832</w:t>
            </w:r>
          </w:p>
        </w:tc>
        <w:tc>
          <w:tcPr>
            <w:tcW w:w="1360" w:type="dxa"/>
            <w:vAlign w:val="bottom"/>
          </w:tcPr>
          <w:p>
            <w:pPr>
              <w:jc w:val="right"/>
              <w:spacing w:after="0"/>
              <w:rPr>
                <w:sz w:val="20"/>
                <w:szCs w:val="20"/>
                <w:color w:val="auto"/>
              </w:rPr>
            </w:pPr>
            <w:r>
              <w:rPr>
                <w:rFonts w:ascii="Arial" w:cs="Arial" w:eastAsia="Arial" w:hAnsi="Arial"/>
                <w:sz w:val="18"/>
                <w:szCs w:val="18"/>
                <w:color w:val="auto"/>
              </w:rPr>
              <w:t>1,297,365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754,876</w:t>
            </w:r>
          </w:p>
        </w:tc>
        <w:tc>
          <w:tcPr>
            <w:tcW w:w="2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1,299,966</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44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440" w:type="dxa"/>
            <w:vAlign w:val="bottom"/>
            <w:shd w:val="clear" w:color="auto" w:fill="CCEEFF"/>
          </w:tcPr>
          <w:p>
            <w:pPr>
              <w:spacing w:after="0"/>
              <w:rPr>
                <w:sz w:val="20"/>
                <w:szCs w:val="20"/>
                <w:color w:val="auto"/>
              </w:rPr>
            </w:pPr>
            <w:r>
              <w:rPr>
                <w:rFonts w:ascii="Arial" w:cs="Arial" w:eastAsia="Arial" w:hAnsi="Arial"/>
                <w:sz w:val="18"/>
                <w:szCs w:val="18"/>
                <w:color w:val="auto"/>
              </w:rPr>
              <w:t>Less:</w:t>
            </w: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Pr>
          <w:p>
            <w:pPr>
              <w:spacing w:after="0"/>
              <w:rPr>
                <w:sz w:val="20"/>
                <w:szCs w:val="20"/>
                <w:color w:val="auto"/>
              </w:rPr>
            </w:pPr>
            <w:r>
              <w:rPr>
                <w:rFonts w:ascii="Arial" w:cs="Arial" w:eastAsia="Arial" w:hAnsi="Arial"/>
                <w:sz w:val="18"/>
                <w:szCs w:val="18"/>
                <w:color w:val="auto"/>
              </w:rPr>
              <w:t>Pledged deposits</w:t>
            </w:r>
          </w:p>
        </w:tc>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36,049</w:t>
            </w:r>
          </w:p>
        </w:tc>
        <w:tc>
          <w:tcPr>
            <w:tcW w:w="1440" w:type="dxa"/>
            <w:vAlign w:val="bottom"/>
            <w:gridSpan w:val="2"/>
          </w:tcPr>
          <w:p>
            <w:pPr>
              <w:jc w:val="right"/>
              <w:ind w:right="80"/>
              <w:spacing w:after="0"/>
              <w:rPr>
                <w:sz w:val="20"/>
                <w:szCs w:val="20"/>
                <w:color w:val="auto"/>
              </w:rPr>
            </w:pPr>
            <w:r>
              <w:rPr>
                <w:rFonts w:ascii="Arial" w:cs="Arial" w:eastAsia="Arial" w:hAnsi="Arial"/>
                <w:sz w:val="18"/>
                <w:szCs w:val="18"/>
                <w:color w:val="auto"/>
              </w:rPr>
              <w:t>32,664</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cash and cash equivalents</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718,827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1,267,302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4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Interest-bearing deposits in banks</w:t>
      </w:r>
    </w:p>
    <w:p>
      <w:pPr>
        <w:spacing w:after="0" w:line="229" w:lineRule="exact"/>
        <w:rPr>
          <w:sz w:val="20"/>
          <w:szCs w:val="20"/>
          <w:color w:val="auto"/>
        </w:rPr>
      </w:pPr>
    </w:p>
    <w:p>
      <w:pPr>
        <w:ind w:left="500"/>
        <w:spacing w:after="0"/>
        <w:rPr>
          <w:sz w:val="20"/>
          <w:szCs w:val="20"/>
          <w:color w:val="auto"/>
        </w:rPr>
      </w:pPr>
      <w:r>
        <w:rPr>
          <w:rFonts w:ascii="Arial" w:cs="Arial" w:eastAsia="Arial" w:hAnsi="Arial"/>
          <w:sz w:val="18"/>
          <w:szCs w:val="18"/>
          <w:i w:val="1"/>
          <w:iCs w:val="1"/>
          <w:color w:val="auto"/>
        </w:rPr>
        <w:t>Demand deposits</w:t>
      </w:r>
    </w:p>
    <w:p>
      <w:pPr>
        <w:spacing w:after="0" w:line="225"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cash in banks balances correspond to bank deposits, bearing interest based on the daily rates determined by banks for between 0.01% and 0.40% and 0.01% and 0.35%, respectively.</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i w:val="1"/>
          <w:iCs w:val="1"/>
          <w:color w:val="auto"/>
        </w:rPr>
        <w:t>Time deposits</w:t>
      </w:r>
    </w:p>
    <w:p>
      <w:pPr>
        <w:spacing w:after="0" w:line="225"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cash equivalents balances correspond to demand deposits (overnight), bearing an average interest rate of 0.50% to 0.57% and 0.40% to 0.52%, respectively.</w:t>
      </w:r>
    </w:p>
    <w:p>
      <w:pPr>
        <w:spacing w:after="0" w:line="170" w:lineRule="exact"/>
        <w:rPr>
          <w:sz w:val="20"/>
          <w:szCs w:val="20"/>
          <w:color w:val="auto"/>
        </w:rPr>
      </w:pPr>
    </w:p>
    <w:p>
      <w:pPr>
        <w:ind w:left="500" w:right="20"/>
        <w:spacing w:after="0" w:line="277" w:lineRule="auto"/>
        <w:rPr>
          <w:sz w:val="20"/>
          <w:szCs w:val="20"/>
          <w:color w:val="auto"/>
        </w:rPr>
      </w:pPr>
      <w:r>
        <w:rPr>
          <w:rFonts w:ascii="Arial" w:cs="Arial" w:eastAsia="Arial" w:hAnsi="Arial"/>
          <w:sz w:val="18"/>
          <w:szCs w:val="18"/>
          <w:color w:val="auto"/>
        </w:rPr>
        <w:t>On September 30, 2016 and December 31, 2015 the New York Agency had a pledged deposit with a carrying value of $2.8 million and $3.3 million, respectively, with the New York State Banking Department, as required by law since March 1994.</w:t>
      </w:r>
    </w:p>
    <w:p>
      <w:pPr>
        <w:spacing w:after="0" w:line="170"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the Bank had pledged deposits with a carrying value of $33.2 million and $29.3 million, respectively, to secure derivative financial instruments transactions and repurchase agreements.</w:t>
      </w:r>
    </w:p>
    <w:p>
      <w:pPr>
        <w:spacing w:after="0" w:line="166" w:lineRule="exact"/>
        <w:rPr>
          <w:sz w:val="20"/>
          <w:szCs w:val="20"/>
          <w:color w:val="auto"/>
        </w:rPr>
      </w:pPr>
    </w:p>
    <w:p>
      <w:pPr>
        <w:ind w:left="500" w:hanging="492"/>
        <w:spacing w:after="0"/>
        <w:tabs>
          <w:tab w:leader="none" w:pos="50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500" w:right="5380"/>
        <w:spacing w:after="0" w:line="501" w:lineRule="auto"/>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4.1 Financial instruments at FVTPL - Fair value through profit or loss </w:t>
      </w:r>
      <w:r>
        <w:rPr>
          <w:rFonts w:ascii="Arial" w:cs="Arial" w:eastAsia="Arial" w:hAnsi="Arial"/>
          <w:sz w:val="18"/>
          <w:szCs w:val="18"/>
          <w:color w:val="auto"/>
        </w:rPr>
        <w:t>The fair value of financial liabilities at FVTPL is as follows:</w:t>
      </w: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3520" w:type="dxa"/>
            <w:vAlign w:val="bottom"/>
          </w:tcPr>
          <w:p>
            <w:pPr>
              <w:spacing w:after="0"/>
              <w:rPr>
                <w:sz w:val="18"/>
                <w:szCs w:val="18"/>
                <w:color w:val="auto"/>
              </w:rPr>
            </w:pPr>
          </w:p>
        </w:tc>
        <w:tc>
          <w:tcPr>
            <w:tcW w:w="3920" w:type="dxa"/>
            <w:vAlign w:val="bottom"/>
          </w:tcPr>
          <w:p>
            <w:pPr>
              <w:spacing w:after="0"/>
              <w:rPr>
                <w:sz w:val="18"/>
                <w:szCs w:val="18"/>
                <w:color w:val="auto"/>
              </w:rPr>
            </w:pPr>
          </w:p>
        </w:tc>
        <w:tc>
          <w:tcPr>
            <w:tcW w:w="1600" w:type="dxa"/>
            <w:vAlign w:val="bottom"/>
            <w:gridSpan w:val="2"/>
          </w:tcPr>
          <w:p>
            <w:pPr>
              <w:ind w:left="140"/>
              <w:spacing w:after="0"/>
              <w:rPr>
                <w:sz w:val="20"/>
                <w:szCs w:val="20"/>
                <w:color w:val="auto"/>
              </w:rPr>
            </w:pPr>
            <w:r>
              <w:rPr>
                <w:rFonts w:ascii="Arial" w:cs="Arial" w:eastAsia="Arial" w:hAnsi="Arial"/>
                <w:sz w:val="18"/>
                <w:szCs w:val="18"/>
                <w:b w:val="1"/>
                <w:bCs w:val="1"/>
                <w:color w:val="auto"/>
              </w:rPr>
              <w:t>September 30,</w:t>
            </w:r>
          </w:p>
        </w:tc>
        <w:tc>
          <w:tcPr>
            <w:tcW w:w="1440" w:type="dxa"/>
            <w:vAlign w:val="bottom"/>
            <w:gridSpan w:val="2"/>
          </w:tcPr>
          <w:p>
            <w:pPr>
              <w:ind w:left="160"/>
              <w:spacing w:after="0"/>
              <w:rPr>
                <w:sz w:val="20"/>
                <w:szCs w:val="20"/>
                <w:color w:val="auto"/>
              </w:rPr>
            </w:pPr>
            <w:r>
              <w:rPr>
                <w:rFonts w:ascii="Arial" w:cs="Arial" w:eastAsia="Arial" w:hAnsi="Arial"/>
                <w:sz w:val="18"/>
                <w:szCs w:val="18"/>
                <w:b w:val="1"/>
                <w:bCs w:val="1"/>
                <w:color w:val="auto"/>
              </w:rPr>
              <w:t>December 31,</w:t>
            </w: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5300" w:type="dxa"/>
            <w:vAlign w:val="bottom"/>
            <w:gridSpan w:val="2"/>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60" w:type="dxa"/>
            <w:vAlign w:val="bottom"/>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39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520" w:type="dxa"/>
            <w:vAlign w:val="bottom"/>
          </w:tcPr>
          <w:p>
            <w:pPr>
              <w:spacing w:after="0"/>
              <w:rPr>
                <w:sz w:val="20"/>
                <w:szCs w:val="20"/>
                <w:color w:val="auto"/>
              </w:rPr>
            </w:pPr>
            <w:r>
              <w:rPr>
                <w:rFonts w:ascii="Arial" w:cs="Arial" w:eastAsia="Arial" w:hAnsi="Arial"/>
                <w:sz w:val="18"/>
                <w:szCs w:val="18"/>
                <w:color w:val="auto"/>
              </w:rPr>
              <w:t>Foreign exchange forward</w:t>
            </w:r>
          </w:p>
        </w:tc>
        <w:tc>
          <w:tcPr>
            <w:tcW w:w="5300" w:type="dxa"/>
            <w:vAlign w:val="bottom"/>
            <w:gridSpan w:val="2"/>
          </w:tcPr>
          <w:p>
            <w:pPr>
              <w:jc w:val="right"/>
              <w:spacing w:after="0"/>
              <w:rPr>
                <w:sz w:val="20"/>
                <w:szCs w:val="20"/>
                <w:color w:val="auto"/>
              </w:rPr>
            </w:pPr>
            <w:r>
              <w:rPr>
                <w:rFonts w:ascii="Arial" w:cs="Arial" w:eastAsia="Arial" w:hAnsi="Arial"/>
                <w:sz w:val="18"/>
                <w:szCs w:val="18"/>
                <w:color w:val="auto"/>
              </w:rPr>
              <w:t>28</w:t>
            </w:r>
          </w:p>
        </w:tc>
        <w:tc>
          <w:tcPr>
            <w:tcW w:w="22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5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39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00" w:type="dxa"/>
            <w:vAlign w:val="bottom"/>
            <w:vMerge w:val="restart"/>
          </w:tcPr>
          <w:p>
            <w:pPr>
              <w:spacing w:after="0"/>
              <w:rPr>
                <w:sz w:val="17"/>
                <w:szCs w:val="17"/>
                <w:color w:val="auto"/>
              </w:rPr>
            </w:pPr>
          </w:p>
        </w:tc>
        <w:tc>
          <w:tcPr>
            <w:tcW w:w="3520" w:type="dxa"/>
            <w:vAlign w:val="bottom"/>
          </w:tcPr>
          <w:p>
            <w:pPr>
              <w:spacing w:after="0"/>
              <w:rPr>
                <w:sz w:val="17"/>
                <w:szCs w:val="17"/>
                <w:color w:val="auto"/>
              </w:rPr>
            </w:pPr>
          </w:p>
        </w:tc>
        <w:tc>
          <w:tcPr>
            <w:tcW w:w="39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5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39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20" w:type="dxa"/>
            <w:vAlign w:val="bottom"/>
          </w:tcPr>
          <w:p>
            <w:pPr>
              <w:spacing w:after="0"/>
              <w:rPr>
                <w:sz w:val="20"/>
                <w:szCs w:val="20"/>
                <w:color w:val="auto"/>
              </w:rPr>
            </w:pPr>
            <w:r>
              <w:rPr>
                <w:rFonts w:ascii="Arial" w:cs="Arial" w:eastAsia="Arial" w:hAnsi="Arial"/>
                <w:sz w:val="18"/>
                <w:szCs w:val="18"/>
                <w:color w:val="auto"/>
              </w:rPr>
              <w:t>Interest rate swaps</w:t>
            </w:r>
          </w:p>
        </w:tc>
        <w:tc>
          <w:tcPr>
            <w:tcW w:w="5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60" w:type="dxa"/>
            <w:vAlign w:val="bottom"/>
          </w:tcPr>
          <w:p>
            <w:pPr>
              <w:jc w:val="right"/>
              <w:spacing w:after="0"/>
              <w:rPr>
                <w:sz w:val="20"/>
                <w:szCs w:val="20"/>
                <w:color w:val="auto"/>
              </w:rPr>
            </w:pPr>
            <w:r>
              <w:rPr>
                <w:rFonts w:ascii="Arial" w:cs="Arial" w:eastAsia="Arial" w:hAnsi="Arial"/>
                <w:sz w:val="18"/>
                <w:szCs w:val="18"/>
                <w:color w:val="auto"/>
              </w:rPr>
              <w:t>15</w:t>
            </w: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52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5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80" w:type="dxa"/>
            <w:vAlign w:val="bottom"/>
            <w:shd w:val="clear" w:color="auto" w:fill="CCEEFF"/>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52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39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8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3920" w:type="dxa"/>
            <w:vAlign w:val="bottom"/>
            <w:vMerge w:val="restart"/>
          </w:tcPr>
          <w:p>
            <w:pPr>
              <w:jc w:val="right"/>
              <w:ind w:right="2010"/>
              <w:spacing w:after="0"/>
              <w:rPr>
                <w:sz w:val="20"/>
                <w:szCs w:val="20"/>
                <w:color w:val="auto"/>
              </w:rPr>
            </w:pPr>
            <w:r>
              <w:rPr>
                <w:rFonts w:ascii="Arial" w:cs="Arial" w:eastAsia="Arial" w:hAnsi="Arial"/>
                <w:sz w:val="18"/>
                <w:szCs w:val="18"/>
                <w:color w:val="auto"/>
              </w:rPr>
              <w:t>10</w:t>
            </w: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tcPr>
          <w:p>
            <w:pPr>
              <w:spacing w:after="0"/>
              <w:rPr>
                <w:sz w:val="24"/>
                <w:szCs w:val="24"/>
                <w:color w:val="auto"/>
              </w:rPr>
            </w:pPr>
          </w:p>
        </w:tc>
        <w:tc>
          <w:tcPr>
            <w:tcW w:w="3920" w:type="dxa"/>
            <w:vAlign w:val="bottom"/>
            <w:tcBorders>
              <w:bottom w:val="single" w:sz="8" w:color="auto"/>
            </w:tcBorders>
            <w:vMerge w:val="continue"/>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2" w:name="page13"/>
    <w:bookmarkEnd w:id="1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4.1  Financial instruments at FVTPL - Fair value through profit or loss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As of September 30, 2016 and December 31, 2015, information on the nominal amounts of derivative financial instruments at FVTPL is as follows:</w:t>
      </w:r>
    </w:p>
    <w:p>
      <w:pPr>
        <w:spacing w:after="0" w:line="258"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4400" w:type="dxa"/>
            <w:vAlign w:val="bottom"/>
          </w:tcPr>
          <w:p>
            <w:pPr>
              <w:spacing w:after="0"/>
              <w:rPr>
                <w:sz w:val="20"/>
                <w:szCs w:val="20"/>
                <w:color w:val="auto"/>
              </w:rPr>
            </w:pPr>
          </w:p>
        </w:tc>
        <w:tc>
          <w:tcPr>
            <w:tcW w:w="2260" w:type="dxa"/>
            <w:vAlign w:val="bottom"/>
            <w:tcBorders>
              <w:bottom w:val="single" w:sz="8" w:color="auto"/>
            </w:tcBorders>
            <w:gridSpan w:val="5"/>
          </w:tcPr>
          <w:p>
            <w:pPr>
              <w:jc w:val="center"/>
              <w:ind w:left="670"/>
              <w:spacing w:after="0"/>
              <w:rPr>
                <w:sz w:val="20"/>
                <w:szCs w:val="20"/>
                <w:color w:val="auto"/>
              </w:rPr>
            </w:pPr>
            <w:r>
              <w:rPr>
                <w:rFonts w:ascii="Arial" w:cs="Arial" w:eastAsia="Arial" w:hAnsi="Arial"/>
                <w:sz w:val="18"/>
                <w:szCs w:val="18"/>
                <w:b w:val="1"/>
                <w:bCs w:val="1"/>
                <w:color w:val="auto"/>
                <w:w w:val="89"/>
              </w:rPr>
              <w:t>September 30, 2016</w:t>
            </w:r>
          </w:p>
        </w:tc>
        <w:tc>
          <w:tcPr>
            <w:tcW w:w="68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220" w:type="dxa"/>
            <w:vAlign w:val="bottom"/>
            <w:tcBorders>
              <w:bottom w:val="single" w:sz="8" w:color="auto"/>
            </w:tcBorders>
            <w:gridSpan w:val="5"/>
          </w:tcPr>
          <w:p>
            <w:pPr>
              <w:jc w:val="center"/>
              <w:ind w:left="670"/>
              <w:spacing w:after="0"/>
              <w:rPr>
                <w:sz w:val="20"/>
                <w:szCs w:val="20"/>
                <w:color w:val="auto"/>
              </w:rPr>
            </w:pPr>
            <w:r>
              <w:rPr>
                <w:rFonts w:ascii="Arial" w:cs="Arial" w:eastAsia="Arial" w:hAnsi="Arial"/>
                <w:sz w:val="18"/>
                <w:szCs w:val="18"/>
                <w:b w:val="1"/>
                <w:bCs w:val="1"/>
                <w:color w:val="auto"/>
                <w:w w:val="90"/>
              </w:rPr>
              <w:t>December 31, 2015</w:t>
            </w:r>
          </w:p>
        </w:tc>
        <w:tc>
          <w:tcPr>
            <w:tcW w:w="7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10"/>
        </w:trPr>
        <w:tc>
          <w:tcPr>
            <w:tcW w:w="4400" w:type="dxa"/>
            <w:vAlign w:val="bottom"/>
          </w:tcPr>
          <w:p>
            <w:pPr>
              <w:spacing w:after="0"/>
              <w:rPr>
                <w:sz w:val="18"/>
                <w:szCs w:val="18"/>
                <w:color w:val="auto"/>
              </w:rPr>
            </w:pP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Nominal</w:t>
            </w:r>
          </w:p>
        </w:tc>
        <w:tc>
          <w:tcPr>
            <w:tcW w:w="1860" w:type="dxa"/>
            <w:vAlign w:val="bottom"/>
            <w:tcBorders>
              <w:bottom w:val="single" w:sz="8" w:color="auto"/>
            </w:tcBorders>
            <w:gridSpan w:val="4"/>
          </w:tcPr>
          <w:p>
            <w:pPr>
              <w:ind w:left="560"/>
              <w:spacing w:after="0"/>
              <w:rPr>
                <w:sz w:val="20"/>
                <w:szCs w:val="20"/>
                <w:color w:val="auto"/>
              </w:rPr>
            </w:pPr>
            <w:r>
              <w:rPr>
                <w:rFonts w:ascii="Arial" w:cs="Arial" w:eastAsia="Arial" w:hAnsi="Arial"/>
                <w:sz w:val="18"/>
                <w:szCs w:val="18"/>
                <w:b w:val="1"/>
                <w:bCs w:val="1"/>
                <w:color w:val="auto"/>
              </w:rPr>
              <w:t>Fair Value</w:t>
            </w:r>
          </w:p>
        </w:tc>
        <w:tc>
          <w:tcPr>
            <w:tcW w:w="8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Nominal</w:t>
            </w:r>
          </w:p>
        </w:tc>
        <w:tc>
          <w:tcPr>
            <w:tcW w:w="190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Fair Value</w:t>
            </w:r>
          </w:p>
        </w:tc>
        <w:tc>
          <w:tcPr>
            <w:tcW w:w="100" w:type="dxa"/>
            <w:vAlign w:val="bottom"/>
          </w:tcPr>
          <w:p>
            <w:pPr>
              <w:spacing w:after="0"/>
              <w:rPr>
                <w:sz w:val="18"/>
                <w:szCs w:val="18"/>
                <w:color w:val="auto"/>
              </w:rPr>
            </w:pPr>
          </w:p>
        </w:tc>
      </w:tr>
      <w:tr>
        <w:trPr>
          <w:trHeight w:val="223"/>
        </w:trPr>
        <w:tc>
          <w:tcPr>
            <w:tcW w:w="4400" w:type="dxa"/>
            <w:vAlign w:val="bottom"/>
          </w:tcPr>
          <w:p>
            <w:pPr>
              <w:spacing w:after="0"/>
              <w:rPr>
                <w:sz w:val="19"/>
                <w:szCs w:val="19"/>
                <w:color w:val="auto"/>
              </w:rPr>
            </w:pPr>
          </w:p>
        </w:tc>
        <w:tc>
          <w:tcPr>
            <w:tcW w:w="10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Amount</w:t>
            </w:r>
          </w:p>
        </w:tc>
        <w:tc>
          <w:tcPr>
            <w:tcW w:w="118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5"/>
              </w:rPr>
              <w:t>Asset</w:t>
            </w:r>
          </w:p>
        </w:tc>
        <w:tc>
          <w:tcPr>
            <w:tcW w:w="680" w:type="dxa"/>
            <w:vAlign w:val="bottom"/>
          </w:tcPr>
          <w:p>
            <w:pPr>
              <w:spacing w:after="0"/>
              <w:rPr>
                <w:sz w:val="20"/>
                <w:szCs w:val="20"/>
                <w:color w:val="auto"/>
              </w:rPr>
            </w:pPr>
            <w:r>
              <w:rPr>
                <w:rFonts w:ascii="Arial" w:cs="Arial" w:eastAsia="Arial" w:hAnsi="Arial"/>
                <w:sz w:val="18"/>
                <w:szCs w:val="18"/>
                <w:b w:val="1"/>
                <w:bCs w:val="1"/>
                <w:color w:val="auto"/>
                <w:w w:val="96"/>
              </w:rPr>
              <w:t>Liability</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8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Amount</w:t>
            </w:r>
          </w:p>
        </w:tc>
        <w:tc>
          <w:tcPr>
            <w:tcW w:w="114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5"/>
              </w:rPr>
              <w:t>Asset</w:t>
            </w:r>
          </w:p>
        </w:tc>
        <w:tc>
          <w:tcPr>
            <w:tcW w:w="760" w:type="dxa"/>
            <w:vAlign w:val="bottom"/>
          </w:tcPr>
          <w:p>
            <w:pPr>
              <w:jc w:val="right"/>
              <w:spacing w:after="0"/>
              <w:rPr>
                <w:sz w:val="20"/>
                <w:szCs w:val="20"/>
                <w:color w:val="auto"/>
              </w:rPr>
            </w:pPr>
            <w:r>
              <w:rPr>
                <w:rFonts w:ascii="Arial" w:cs="Arial" w:eastAsia="Arial" w:hAnsi="Arial"/>
                <w:sz w:val="18"/>
                <w:szCs w:val="18"/>
                <w:b w:val="1"/>
                <w:bCs w:val="1"/>
                <w:color w:val="auto"/>
                <w:w w:val="96"/>
              </w:rPr>
              <w:t>Liability</w:t>
            </w:r>
          </w:p>
        </w:tc>
        <w:tc>
          <w:tcPr>
            <w:tcW w:w="100" w:type="dxa"/>
            <w:vAlign w:val="bottom"/>
          </w:tcPr>
          <w:p>
            <w:pPr>
              <w:spacing w:after="0"/>
              <w:rPr>
                <w:sz w:val="19"/>
                <w:szCs w:val="19"/>
                <w:color w:val="auto"/>
              </w:rPr>
            </w:pPr>
          </w:p>
        </w:tc>
      </w:tr>
      <w:tr>
        <w:trPr>
          <w:trHeight w:val="210"/>
        </w:trPr>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14,000</w:t>
            </w:r>
          </w:p>
        </w:tc>
        <w:tc>
          <w:tcPr>
            <w:tcW w:w="22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4400" w:type="dxa"/>
            <w:vAlign w:val="bottom"/>
          </w:tcPr>
          <w:p>
            <w:pPr>
              <w:spacing w:after="0"/>
              <w:rPr>
                <w:sz w:val="20"/>
                <w:szCs w:val="20"/>
                <w:color w:val="auto"/>
              </w:rPr>
            </w:pPr>
            <w:r>
              <w:rPr>
                <w:rFonts w:ascii="Arial" w:cs="Arial" w:eastAsia="Arial" w:hAnsi="Arial"/>
                <w:sz w:val="18"/>
                <w:szCs w:val="18"/>
                <w:color w:val="auto"/>
              </w:rPr>
              <w:t>Foreign exchange forward</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1,878</w:t>
            </w:r>
          </w:p>
        </w:tc>
        <w:tc>
          <w:tcPr>
            <w:tcW w:w="860" w:type="dxa"/>
            <w:vAlign w:val="bottom"/>
          </w:tcPr>
          <w:p>
            <w:pPr>
              <w:jc w:val="right"/>
              <w:spacing w:after="0"/>
              <w:rPr>
                <w:sz w:val="20"/>
                <w:szCs w:val="20"/>
                <w:color w:val="auto"/>
              </w:rPr>
            </w:pPr>
            <w:r>
              <w:rPr>
                <w:rFonts w:ascii="Arial" w:cs="Arial" w:eastAsia="Arial" w:hAnsi="Arial"/>
                <w:sz w:val="18"/>
                <w:szCs w:val="18"/>
                <w:color w:val="auto"/>
              </w:rPr>
              <w:t>28</w:t>
            </w: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080" w:type="dxa"/>
            <w:vAlign w:val="bottom"/>
            <w:gridSpan w:val="2"/>
          </w:tcPr>
          <w:p>
            <w:pPr>
              <w:jc w:val="right"/>
              <w:ind w:right="220"/>
              <w:spacing w:after="0"/>
              <w:rPr>
                <w:sz w:val="20"/>
                <w:szCs w:val="20"/>
                <w:color w:val="auto"/>
              </w:rPr>
            </w:pPr>
            <w:r>
              <w:rPr>
                <w:rFonts w:ascii="Arial" w:cs="Arial" w:eastAsia="Arial" w:hAnsi="Arial"/>
                <w:sz w:val="18"/>
                <w:szCs w:val="18"/>
                <w:color w:val="auto"/>
              </w:rPr>
              <w:t>1,675</w:t>
            </w:r>
          </w:p>
        </w:tc>
        <w:tc>
          <w:tcPr>
            <w:tcW w:w="10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74</w:t>
            </w:r>
          </w:p>
        </w:tc>
        <w:tc>
          <w:tcPr>
            <w:tcW w:w="100" w:type="dxa"/>
            <w:vAlign w:val="bottom"/>
          </w:tcPr>
          <w:p>
            <w:pPr>
              <w:spacing w:after="0"/>
              <w:rPr>
                <w:sz w:val="19"/>
                <w:szCs w:val="19"/>
                <w:color w:val="auto"/>
              </w:rPr>
            </w:pPr>
          </w:p>
        </w:tc>
      </w:tr>
      <w:tr>
        <w:trPr>
          <w:trHeight w:val="223"/>
        </w:trPr>
        <w:tc>
          <w:tcPr>
            <w:tcW w:w="4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1,878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680" w:type="dxa"/>
            <w:vAlign w:val="bottom"/>
            <w:tcBorders>
              <w:top w:val="single" w:sz="8" w:color="auto"/>
              <w:bottom w:val="single" w:sz="8" w:color="auto"/>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15,675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4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spacing w:after="0"/>
        <w:tabs>
          <w:tab w:leader="none" w:pos="880" w:val="left"/>
        </w:tabs>
        <w:rPr>
          <w:sz w:val="20"/>
          <w:szCs w:val="20"/>
          <w:color w:val="auto"/>
        </w:rPr>
      </w:pPr>
      <w:r>
        <w:rPr>
          <w:rFonts w:ascii="Arial" w:cs="Arial" w:eastAsia="Arial" w:hAnsi="Arial"/>
          <w:sz w:val="18"/>
          <w:szCs w:val="18"/>
          <w:b w:val="1"/>
          <w:bCs w:val="1"/>
          <w:color w:val="auto"/>
        </w:rPr>
        <w:t>4.2</w:t>
      </w:r>
      <w:r>
        <w:rPr>
          <w:sz w:val="20"/>
          <w:szCs w:val="20"/>
          <w:color w:val="auto"/>
        </w:rPr>
        <w:tab/>
      </w:r>
      <w:r>
        <w:rPr>
          <w:rFonts w:ascii="Arial" w:cs="Arial" w:eastAsia="Arial" w:hAnsi="Arial"/>
          <w:sz w:val="16"/>
          <w:szCs w:val="16"/>
          <w:b w:val="1"/>
          <w:bCs w:val="1"/>
          <w:color w:val="auto"/>
        </w:rPr>
        <w:t>Investment Funds at FVTPL - Fair value through profit or loss</w:t>
      </w:r>
    </w:p>
    <w:p>
      <w:pPr>
        <w:spacing w:after="0" w:line="229"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The Bank maintained an investment in the Alpha4X Feeder Fund (the “Feeder”) which was organized under a “Feeder-Master” structure. Under this structure, the Feeder invested all of its assets in the Master which in turn invested in various assets on behalf of its investor. At December 31, 2015, the investment funds consisted of the net asset value (NAV) of Bladex’s investment in the Feeder and in the Brazilian Fund.</w:t>
      </w:r>
    </w:p>
    <w:p>
      <w:pPr>
        <w:spacing w:after="0" w:line="166"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The changes of the Bank´s investment in the Feeder were recorded in the consolidated statement of profit or loss of that fund in the “Gain (loss) per financial instruments at fair value through profit and loss” line item. The Feeder is not consolidated in the Bank’s financial statements as a result of the evaluation of control as per IFRS 10 “Consolidated Financial Statements” according to which the existing rights on the fund did not give the Bank the ability to direct the relevant activities of the fund nor the ability to use its power over the investee to affect its return. At December 31, 2015 the Bank had a participation in that fund of 47.71%.</w:t>
      </w:r>
    </w:p>
    <w:p>
      <w:pPr>
        <w:spacing w:after="0" w:line="188" w:lineRule="exact"/>
        <w:rPr>
          <w:sz w:val="20"/>
          <w:szCs w:val="20"/>
          <w:color w:val="auto"/>
        </w:rPr>
      </w:pPr>
    </w:p>
    <w:p>
      <w:pPr>
        <w:jc w:val="both"/>
        <w:ind w:left="500"/>
        <w:spacing w:after="0" w:line="257" w:lineRule="auto"/>
        <w:rPr>
          <w:sz w:val="20"/>
          <w:szCs w:val="20"/>
          <w:color w:val="auto"/>
        </w:rPr>
      </w:pPr>
      <w:r>
        <w:rPr>
          <w:rFonts w:ascii="Arial" w:cs="Arial" w:eastAsia="Arial" w:hAnsi="Arial"/>
          <w:sz w:val="18"/>
          <w:szCs w:val="18"/>
          <w:color w:val="auto"/>
        </w:rPr>
        <w:t>Bladex also reported the changes in the NAV of the Brazilian Fund in the “Gain (loss) per financial instruments at fair value through profit and loss" line item, which the Bank did not consolidate, because the existing rights on this fund did not give the Bank the ability to direct its relevant activities nor the ability to use its power over the investee to affect its return. This investment was adjusted to recognize the Bank's participation in the profits and losses of the fund in the line “gain (loss) per financial instruments at fair value through profit or loss” of the consolidated statement of profit or loss.</w:t>
      </w:r>
    </w:p>
    <w:p>
      <w:pPr>
        <w:spacing w:after="0" w:line="188"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7620" w:type="dxa"/>
            <w:vAlign w:val="bottom"/>
          </w:tcPr>
          <w:p>
            <w:pPr>
              <w:spacing w:after="0"/>
              <w:rPr>
                <w:sz w:val="20"/>
                <w:szCs w:val="20"/>
                <w:color w:val="auto"/>
              </w:rPr>
            </w:pPr>
            <w:r>
              <w:rPr>
                <w:rFonts w:ascii="Arial" w:cs="Arial" w:eastAsia="Arial" w:hAnsi="Arial"/>
                <w:sz w:val="18"/>
                <w:szCs w:val="18"/>
                <w:color w:val="auto"/>
              </w:rPr>
              <w:t>The following table summarizes the balances of investments in investment funds:</w:t>
            </w: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14"/>
        </w:trPr>
        <w:tc>
          <w:tcPr>
            <w:tcW w:w="7620" w:type="dxa"/>
            <w:vAlign w:val="bottom"/>
          </w:tcPr>
          <w:p>
            <w:pPr>
              <w:spacing w:after="0"/>
              <w:rPr>
                <w:sz w:val="24"/>
                <w:szCs w:val="24"/>
                <w:color w:val="auto"/>
              </w:rPr>
            </w:pP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September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Borders>
              <w:bottom w:val="single" w:sz="8" w:color="CCEEFF"/>
            </w:tcBorders>
          </w:tcPr>
          <w:p>
            <w:pPr>
              <w:spacing w:after="0"/>
              <w:rPr>
                <w:sz w:val="20"/>
                <w:szCs w:val="20"/>
                <w:color w:val="auto"/>
              </w:rPr>
            </w:pPr>
          </w:p>
        </w:tc>
      </w:tr>
      <w:tr>
        <w:trPr>
          <w:trHeight w:val="210"/>
        </w:trPr>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Alpha4X Feeder Fund</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49,585</w:t>
            </w:r>
          </w:p>
        </w:tc>
        <w:tc>
          <w:tcPr>
            <w:tcW w:w="100" w:type="dxa"/>
            <w:vAlign w:val="bottom"/>
            <w:shd w:val="clear" w:color="auto" w:fill="CCEEFF"/>
          </w:tcPr>
          <w:p>
            <w:pPr>
              <w:spacing w:after="0"/>
              <w:rPr>
                <w:sz w:val="18"/>
                <w:szCs w:val="18"/>
                <w:color w:val="auto"/>
              </w:rPr>
            </w:pPr>
          </w:p>
        </w:tc>
      </w:tr>
      <w:tr>
        <w:trPr>
          <w:trHeight w:val="230"/>
        </w:trPr>
        <w:tc>
          <w:tcPr>
            <w:tcW w:w="7620" w:type="dxa"/>
            <w:vAlign w:val="bottom"/>
          </w:tcPr>
          <w:p>
            <w:pPr>
              <w:spacing w:after="0"/>
              <w:rPr>
                <w:sz w:val="20"/>
                <w:szCs w:val="20"/>
                <w:color w:val="auto"/>
              </w:rPr>
            </w:pPr>
            <w:r>
              <w:rPr>
                <w:rFonts w:ascii="Arial" w:cs="Arial" w:eastAsia="Arial" w:hAnsi="Arial"/>
                <w:sz w:val="18"/>
                <w:szCs w:val="18"/>
                <w:color w:val="auto"/>
              </w:rPr>
              <w:t>Alpha4X Latam Fundo de Investimento and Multimercado</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3,826</w:t>
            </w:r>
          </w:p>
        </w:tc>
      </w:tr>
      <w:tr>
        <w:trPr>
          <w:trHeight w:val="223"/>
        </w:trPr>
        <w:tc>
          <w:tcPr>
            <w:tcW w:w="762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53,411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Bank remained committed to being an investor of these funds until March 31, 2016 and was later redeemed completely.</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 w:name="page14"/>
    <w:bookmarkEnd w:id="1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related unrealized gross gain (loss) and fair value of securities at fair value through other comprehensive income by country risk and type of debt are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260" w:type="dxa"/>
            <w:vAlign w:val="bottom"/>
            <w:tcBorders>
              <w:bottom w:val="single" w:sz="8" w:color="auto"/>
            </w:tcBorders>
            <w:gridSpan w:val="4"/>
          </w:tcPr>
          <w:p>
            <w:pPr>
              <w:jc w:val="center"/>
              <w:ind w:left="210"/>
              <w:spacing w:after="0"/>
              <w:rPr>
                <w:sz w:val="20"/>
                <w:szCs w:val="20"/>
                <w:color w:val="auto"/>
              </w:rPr>
            </w:pPr>
            <w:r>
              <w:rPr>
                <w:rFonts w:ascii="Arial" w:cs="Arial" w:eastAsia="Arial" w:hAnsi="Arial"/>
                <w:sz w:val="18"/>
                <w:szCs w:val="18"/>
                <w:b w:val="1"/>
                <w:bCs w:val="1"/>
                <w:color w:val="auto"/>
                <w:w w:val="90"/>
              </w:rPr>
              <w:t>September 30, 2016</w:t>
            </w:r>
          </w:p>
        </w:tc>
        <w:tc>
          <w:tcPr>
            <w:tcW w:w="3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Amortized</w:t>
            </w:r>
          </w:p>
        </w:tc>
        <w:tc>
          <w:tcPr>
            <w:tcW w:w="780" w:type="dxa"/>
            <w:vAlign w:val="bottom"/>
            <w:tcBorders>
              <w:bottom w:val="single" w:sz="8" w:color="auto"/>
            </w:tcBorders>
          </w:tcPr>
          <w:p>
            <w:pPr>
              <w:spacing w:after="0"/>
              <w:rPr>
                <w:sz w:val="19"/>
                <w:szCs w:val="19"/>
                <w:color w:val="auto"/>
              </w:rPr>
            </w:pPr>
          </w:p>
        </w:tc>
        <w:tc>
          <w:tcPr>
            <w:tcW w:w="1480" w:type="dxa"/>
            <w:vAlign w:val="bottom"/>
            <w:tcBorders>
              <w:bottom w:val="single" w:sz="8" w:color="auto"/>
            </w:tcBorders>
            <w:gridSpan w:val="3"/>
          </w:tcPr>
          <w:p>
            <w:pPr>
              <w:jc w:val="center"/>
              <w:ind w:right="350"/>
              <w:spacing w:after="0"/>
              <w:rPr>
                <w:sz w:val="20"/>
                <w:szCs w:val="20"/>
                <w:color w:val="auto"/>
              </w:rPr>
            </w:pPr>
            <w:r>
              <w:rPr>
                <w:rFonts w:ascii="Arial" w:cs="Arial" w:eastAsia="Arial" w:hAnsi="Arial"/>
                <w:sz w:val="18"/>
                <w:szCs w:val="18"/>
                <w:b w:val="1"/>
                <w:bCs w:val="1"/>
                <w:color w:val="auto"/>
                <w:w w:val="92"/>
              </w:rPr>
              <w:t>Unrealized</w:t>
            </w:r>
          </w:p>
        </w:tc>
        <w:tc>
          <w:tcPr>
            <w:tcW w:w="34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4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Cost</w:t>
            </w:r>
          </w:p>
        </w:tc>
        <w:tc>
          <w:tcPr>
            <w:tcW w:w="780" w:type="dxa"/>
            <w:vAlign w:val="bottom"/>
          </w:tcPr>
          <w:p>
            <w:pPr>
              <w:ind w:left="420"/>
              <w:spacing w:after="0"/>
              <w:rPr>
                <w:sz w:val="20"/>
                <w:szCs w:val="20"/>
                <w:color w:val="auto"/>
              </w:rPr>
            </w:pPr>
            <w:r>
              <w:rPr>
                <w:rFonts w:ascii="Arial" w:cs="Arial" w:eastAsia="Arial" w:hAnsi="Arial"/>
                <w:sz w:val="18"/>
                <w:szCs w:val="18"/>
                <w:b w:val="1"/>
                <w:bCs w:val="1"/>
                <w:color w:val="auto"/>
                <w:w w:val="84"/>
              </w:rPr>
              <w:t>Gain</w:t>
            </w:r>
          </w:p>
        </w:tc>
        <w:tc>
          <w:tcPr>
            <w:tcW w:w="4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40" w:type="dxa"/>
            <w:vAlign w:val="bottom"/>
          </w:tcPr>
          <w:p>
            <w:pPr>
              <w:ind w:left="400"/>
              <w:spacing w:after="0"/>
              <w:rPr>
                <w:sz w:val="20"/>
                <w:szCs w:val="20"/>
                <w:color w:val="auto"/>
              </w:rPr>
            </w:pPr>
            <w:r>
              <w:rPr>
                <w:rFonts w:ascii="Arial" w:cs="Arial" w:eastAsia="Arial" w:hAnsi="Arial"/>
                <w:sz w:val="18"/>
                <w:szCs w:val="18"/>
                <w:b w:val="1"/>
                <w:bCs w:val="1"/>
                <w:color w:val="auto"/>
                <w:w w:val="99"/>
              </w:rPr>
              <w:t>Loss</w:t>
            </w:r>
          </w:p>
        </w:tc>
        <w:tc>
          <w:tcPr>
            <w:tcW w:w="34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Fair Value</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8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4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3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Brazil</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5,253</w:t>
            </w:r>
          </w:p>
        </w:tc>
        <w:tc>
          <w:tcPr>
            <w:tcW w:w="780" w:type="dxa"/>
            <w:vAlign w:val="bottom"/>
          </w:tcPr>
          <w:p>
            <w:pPr>
              <w:spacing w:after="0"/>
              <w:rPr>
                <w:sz w:val="18"/>
                <w:szCs w:val="18"/>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53</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5,200</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4,247</w:t>
            </w:r>
          </w:p>
        </w:tc>
        <w:tc>
          <w:tcPr>
            <w:tcW w:w="78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w:t>
            </w:r>
          </w:p>
        </w:tc>
        <w:tc>
          <w:tcPr>
            <w:tcW w:w="84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4,423</w:t>
            </w: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Venezuela</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18,265</w:t>
            </w:r>
          </w:p>
        </w:tc>
        <w:tc>
          <w:tcPr>
            <w:tcW w:w="780" w:type="dxa"/>
            <w:vAlign w:val="bottom"/>
          </w:tcPr>
          <w:p>
            <w:pPr>
              <w:spacing w:after="0"/>
              <w:rPr>
                <w:sz w:val="19"/>
                <w:szCs w:val="19"/>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769</w:t>
            </w:r>
          </w:p>
        </w:tc>
        <w:tc>
          <w:tcPr>
            <w:tcW w:w="840" w:type="dxa"/>
            <w:vAlign w:val="bottom"/>
          </w:tcPr>
          <w:p>
            <w:pPr>
              <w:spacing w:after="0"/>
              <w:rPr>
                <w:sz w:val="19"/>
                <w:szCs w:val="19"/>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19,034</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27,765</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945</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28,657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0"/>
        </w:trPr>
        <w:tc>
          <w:tcPr>
            <w:tcW w:w="500" w:type="dxa"/>
            <w:vAlign w:val="bottom"/>
          </w:tcPr>
          <w:p>
            <w:pPr>
              <w:spacing w:after="0"/>
              <w:rPr>
                <w:sz w:val="18"/>
                <w:szCs w:val="18"/>
                <w:color w:val="auto"/>
              </w:rPr>
            </w:pPr>
          </w:p>
        </w:tc>
        <w:tc>
          <w:tcPr>
            <w:tcW w:w="3400" w:type="dxa"/>
            <w:vAlign w:val="bottom"/>
          </w:tcPr>
          <w:p>
            <w:pPr>
              <w:spacing w:after="0"/>
              <w:rPr>
                <w:sz w:val="20"/>
                <w:szCs w:val="20"/>
                <w:color w:val="auto"/>
              </w:rPr>
            </w:pPr>
            <w:r>
              <w:rPr>
                <w:rFonts w:ascii="Arial" w:cs="Arial" w:eastAsia="Arial" w:hAnsi="Arial"/>
                <w:sz w:val="18"/>
                <w:szCs w:val="18"/>
                <w:b w:val="1"/>
                <w:bCs w:val="1"/>
                <w:color w:val="auto"/>
              </w:rPr>
              <w:t>Sovereign debt:</w:t>
            </w:r>
          </w:p>
        </w:tc>
        <w:tc>
          <w:tcPr>
            <w:tcW w:w="18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8,221</w:t>
            </w:r>
          </w:p>
        </w:tc>
        <w:tc>
          <w:tcPr>
            <w:tcW w:w="78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131</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8,090</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Chile</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5,241</w:t>
            </w:r>
          </w:p>
        </w:tc>
        <w:tc>
          <w:tcPr>
            <w:tcW w:w="780" w:type="dxa"/>
            <w:vAlign w:val="bottom"/>
          </w:tcPr>
          <w:p>
            <w:pPr>
              <w:spacing w:after="0"/>
              <w:rPr>
                <w:sz w:val="18"/>
                <w:szCs w:val="18"/>
                <w:color w:val="auto"/>
              </w:rPr>
            </w:pPr>
          </w:p>
        </w:tc>
        <w:tc>
          <w:tcPr>
            <w:tcW w:w="640" w:type="dxa"/>
            <w:vAlign w:val="bottom"/>
            <w:gridSpan w:val="2"/>
          </w:tcPr>
          <w:p>
            <w:pPr>
              <w:jc w:val="right"/>
              <w:ind w:right="220"/>
              <w:spacing w:after="0"/>
              <w:rPr>
                <w:sz w:val="20"/>
                <w:szCs w:val="20"/>
                <w:color w:val="auto"/>
              </w:rPr>
            </w:pPr>
            <w:r>
              <w:rPr>
                <w:rFonts w:ascii="Arial" w:cs="Arial" w:eastAsia="Arial" w:hAnsi="Arial"/>
                <w:sz w:val="18"/>
                <w:szCs w:val="18"/>
                <w:color w:val="auto"/>
              </w:rPr>
              <w:t>120</w:t>
            </w:r>
          </w:p>
        </w:tc>
        <w:tc>
          <w:tcPr>
            <w:tcW w:w="84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5,361</w:t>
            </w: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32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4,509</w:t>
            </w:r>
          </w:p>
        </w:tc>
        <w:tc>
          <w:tcPr>
            <w:tcW w:w="780" w:type="dxa"/>
            <w:vAlign w:val="bottom"/>
            <w:shd w:val="clear" w:color="auto" w:fill="CCEEFF"/>
          </w:tcPr>
          <w:p>
            <w:pPr>
              <w:spacing w:after="0"/>
              <w:rPr>
                <w:sz w:val="18"/>
                <w:szCs w:val="18"/>
                <w:color w:val="auto"/>
              </w:rPr>
            </w:pPr>
          </w:p>
        </w:tc>
        <w:tc>
          <w:tcPr>
            <w:tcW w:w="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w:t>
            </w:r>
          </w:p>
        </w:tc>
        <w:tc>
          <w:tcPr>
            <w:tcW w:w="2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4,580</w:t>
            </w: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3260" w:type="dxa"/>
            <w:vAlign w:val="bottom"/>
            <w:gridSpan w:val="3"/>
          </w:tcPr>
          <w:p>
            <w:pPr>
              <w:jc w:val="right"/>
              <w:ind w:right="220"/>
              <w:spacing w:after="0"/>
              <w:rPr>
                <w:sz w:val="20"/>
                <w:szCs w:val="20"/>
                <w:color w:val="auto"/>
              </w:rPr>
            </w:pPr>
            <w:r>
              <w:rPr>
                <w:rFonts w:ascii="Arial" w:cs="Arial" w:eastAsia="Arial" w:hAnsi="Arial"/>
                <w:sz w:val="18"/>
                <w:szCs w:val="18"/>
                <w:color w:val="auto"/>
              </w:rPr>
              <w:t>9,389</w:t>
            </w:r>
          </w:p>
        </w:tc>
        <w:tc>
          <w:tcPr>
            <w:tcW w:w="78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540" w:type="dxa"/>
            <w:vAlign w:val="bottom"/>
            <w:gridSpan w:val="2"/>
          </w:tcPr>
          <w:p>
            <w:pPr>
              <w:jc w:val="right"/>
              <w:ind w:right="200"/>
              <w:spacing w:after="0"/>
              <w:rPr>
                <w:sz w:val="20"/>
                <w:szCs w:val="20"/>
                <w:color w:val="auto"/>
              </w:rPr>
            </w:pPr>
            <w:r>
              <w:rPr>
                <w:rFonts w:ascii="Arial" w:cs="Arial" w:eastAsia="Arial" w:hAnsi="Arial"/>
                <w:sz w:val="18"/>
                <w:szCs w:val="18"/>
                <w:color w:val="auto"/>
              </w:rPr>
              <w:t>374</w:t>
            </w: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9,015</w:t>
            </w:r>
          </w:p>
        </w:tc>
        <w:tc>
          <w:tcPr>
            <w:tcW w:w="200" w:type="dxa"/>
            <w:vAlign w:val="bottom"/>
          </w:tcPr>
          <w:p>
            <w:pPr>
              <w:spacing w:after="0"/>
              <w:rPr>
                <w:sz w:val="19"/>
                <w:szCs w:val="19"/>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18"/>
                <w:szCs w:val="18"/>
                <w:color w:val="auto"/>
              </w:rPr>
            </w:pPr>
          </w:p>
        </w:tc>
        <w:tc>
          <w:tcPr>
            <w:tcW w:w="18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27,360</w:t>
            </w: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191</w:t>
            </w: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spacing w:after="0"/>
              <w:rPr>
                <w:sz w:val="18"/>
                <w:szCs w:val="18"/>
                <w:color w:val="auto"/>
              </w:rPr>
            </w:pPr>
          </w:p>
        </w:tc>
        <w:tc>
          <w:tcPr>
            <w:tcW w:w="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505</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27,046</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19"/>
                <w:szCs w:val="19"/>
                <w:color w:val="auto"/>
              </w:rPr>
            </w:pPr>
          </w:p>
        </w:tc>
        <w:tc>
          <w:tcPr>
            <w:tcW w:w="18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55,125</w:t>
            </w:r>
          </w:p>
        </w:tc>
        <w:tc>
          <w:tcPr>
            <w:tcW w:w="220" w:type="dxa"/>
            <w:vAlign w:val="bottom"/>
          </w:tcPr>
          <w:p>
            <w:pPr>
              <w:spacing w:after="0"/>
              <w:rPr>
                <w:sz w:val="19"/>
                <w:szCs w:val="19"/>
                <w:color w:val="auto"/>
              </w:rPr>
            </w:pPr>
          </w:p>
        </w:tc>
        <w:tc>
          <w:tcPr>
            <w:tcW w:w="780" w:type="dxa"/>
            <w:vAlign w:val="bottom"/>
            <w:tcBorders>
              <w:bottom w:val="single" w:sz="8" w:color="auto"/>
            </w:tcBorders>
          </w:tcPr>
          <w:p>
            <w:pPr>
              <w:spacing w:after="0"/>
              <w:rPr>
                <w:sz w:val="19"/>
                <w:szCs w:val="19"/>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88"/>
              </w:rPr>
              <w:t>1,136</w:t>
            </w:r>
          </w:p>
        </w:tc>
        <w:tc>
          <w:tcPr>
            <w:tcW w:w="220" w:type="dxa"/>
            <w:vAlign w:val="bottom"/>
          </w:tcPr>
          <w:p>
            <w:pPr>
              <w:spacing w:after="0"/>
              <w:rPr>
                <w:sz w:val="19"/>
                <w:szCs w:val="19"/>
                <w:color w:val="auto"/>
              </w:rPr>
            </w:pPr>
          </w:p>
        </w:tc>
        <w:tc>
          <w:tcPr>
            <w:tcW w:w="840" w:type="dxa"/>
            <w:vAlign w:val="bottom"/>
            <w:tcBorders>
              <w:bottom w:val="single" w:sz="8" w:color="auto"/>
            </w:tcBorders>
          </w:tcPr>
          <w:p>
            <w:pPr>
              <w:spacing w:after="0"/>
              <w:rPr>
                <w:sz w:val="19"/>
                <w:szCs w:val="19"/>
                <w:color w:val="auto"/>
              </w:rPr>
            </w:pPr>
          </w:p>
        </w:tc>
        <w:tc>
          <w:tcPr>
            <w:tcW w:w="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558</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55,703</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12</w:t>
            </w: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14" w:name="page15"/>
    <w:bookmarkEnd w:id="14"/>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39"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5"/>
          </w:tcPr>
          <w:p>
            <w:pPr>
              <w:jc w:val="center"/>
              <w:ind w:right="240"/>
              <w:spacing w:after="0"/>
              <w:rPr>
                <w:sz w:val="20"/>
                <w:szCs w:val="20"/>
                <w:color w:val="auto"/>
              </w:rPr>
            </w:pPr>
            <w:r>
              <w:rPr>
                <w:rFonts w:ascii="Arial" w:cs="Arial" w:eastAsia="Arial" w:hAnsi="Arial"/>
                <w:sz w:val="18"/>
                <w:szCs w:val="18"/>
                <w:b w:val="1"/>
                <w:bCs w:val="1"/>
                <w:color w:val="auto"/>
                <w:w w:val="88"/>
              </w:rPr>
              <w:t>December 31, 2015</w:t>
            </w:r>
          </w:p>
        </w:tc>
        <w:tc>
          <w:tcPr>
            <w:tcW w:w="11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Amortized</w:t>
            </w:r>
          </w:p>
        </w:tc>
        <w:tc>
          <w:tcPr>
            <w:tcW w:w="1780" w:type="dxa"/>
            <w:vAlign w:val="bottom"/>
            <w:tcBorders>
              <w:bottom w:val="single" w:sz="8" w:color="auto"/>
            </w:tcBorders>
            <w:gridSpan w:val="3"/>
          </w:tcPr>
          <w:p>
            <w:pPr>
              <w:jc w:val="center"/>
              <w:ind w:left="730"/>
              <w:spacing w:after="0"/>
              <w:rPr>
                <w:sz w:val="20"/>
                <w:szCs w:val="20"/>
                <w:color w:val="auto"/>
              </w:rPr>
            </w:pPr>
            <w:r>
              <w:rPr>
                <w:rFonts w:ascii="Arial" w:cs="Arial" w:eastAsia="Arial" w:hAnsi="Arial"/>
                <w:sz w:val="18"/>
                <w:szCs w:val="18"/>
                <w:b w:val="1"/>
                <w:bCs w:val="1"/>
                <w:color w:val="auto"/>
                <w:w w:val="92"/>
              </w:rPr>
              <w:t>Unrealized</w:t>
            </w:r>
          </w:p>
        </w:tc>
        <w:tc>
          <w:tcPr>
            <w:tcW w:w="8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Cost</w:t>
            </w:r>
          </w:p>
        </w:tc>
        <w:tc>
          <w:tcPr>
            <w:tcW w:w="1780" w:type="dxa"/>
            <w:vAlign w:val="bottom"/>
            <w:gridSpan w:val="3"/>
          </w:tcPr>
          <w:p>
            <w:pPr>
              <w:ind w:left="420"/>
              <w:spacing w:after="0"/>
              <w:rPr>
                <w:sz w:val="20"/>
                <w:szCs w:val="20"/>
                <w:color w:val="auto"/>
              </w:rPr>
            </w:pPr>
            <w:r>
              <w:rPr>
                <w:rFonts w:ascii="Arial" w:cs="Arial" w:eastAsia="Arial" w:hAnsi="Arial"/>
                <w:sz w:val="18"/>
                <w:szCs w:val="18"/>
                <w:b w:val="1"/>
                <w:bCs w:val="1"/>
                <w:color w:val="auto"/>
              </w:rPr>
              <w:t>Gain</w:t>
            </w:r>
          </w:p>
        </w:tc>
        <w:tc>
          <w:tcPr>
            <w:tcW w:w="820" w:type="dxa"/>
            <w:vAlign w:val="bottom"/>
          </w:tcPr>
          <w:p>
            <w:pPr>
              <w:jc w:val="right"/>
              <w:ind w:right="330"/>
              <w:spacing w:after="0"/>
              <w:rPr>
                <w:sz w:val="20"/>
                <w:szCs w:val="20"/>
                <w:color w:val="auto"/>
              </w:rPr>
            </w:pPr>
            <w:r>
              <w:rPr>
                <w:rFonts w:ascii="Arial" w:cs="Arial" w:eastAsia="Arial" w:hAnsi="Arial"/>
                <w:sz w:val="18"/>
                <w:szCs w:val="18"/>
                <w:b w:val="1"/>
                <w:bCs w:val="1"/>
                <w:color w:val="auto"/>
                <w:w w:val="90"/>
              </w:rPr>
              <w:t>Loss</w:t>
            </w:r>
          </w:p>
        </w:tc>
        <w:tc>
          <w:tcPr>
            <w:tcW w:w="200" w:type="dxa"/>
            <w:vAlign w:val="bottom"/>
          </w:tcPr>
          <w:p>
            <w:pPr>
              <w:spacing w:after="0"/>
              <w:rPr>
                <w:sz w:val="19"/>
                <w:szCs w:val="19"/>
                <w:color w:val="auto"/>
              </w:rPr>
            </w:pP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31,831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3,000</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28,831</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8,205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209</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7,996</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17,815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7,110</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10,705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7,195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7,134</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4,648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73</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4,575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7,275</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Venezuela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18,392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93</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18,299</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95,425</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10,610</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84,815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11,625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1,285</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10,340</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10,536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323</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10,213</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12,046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670</w:t>
            </w:r>
          </w:p>
        </w:tc>
        <w:tc>
          <w:tcPr>
            <w:tcW w:w="1160" w:type="dxa"/>
            <w:vAlign w:val="bottom"/>
          </w:tcPr>
          <w:p>
            <w:pPr>
              <w:jc w:val="right"/>
              <w:spacing w:after="0"/>
              <w:rPr>
                <w:sz w:val="20"/>
                <w:szCs w:val="20"/>
                <w:color w:val="auto"/>
              </w:rPr>
            </w:pPr>
            <w:r>
              <w:rPr>
                <w:rFonts w:ascii="Arial" w:cs="Arial" w:eastAsia="Arial" w:hAnsi="Arial"/>
                <w:sz w:val="18"/>
                <w:szCs w:val="18"/>
                <w:color w:val="auto"/>
              </w:rPr>
              <w:t>11,376</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17,272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681</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16,591</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9,705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8"/>
                <w:szCs w:val="18"/>
                <w:color w:val="auto"/>
              </w:rPr>
              <w:t>1,237</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8,468</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61,184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4,196</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56,988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156,609</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14,806</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141,803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securities at fair value through OCI with a carrying value of $52.9 million and $87.6 million, respectively, were pledged to secure repurchase transactions accounted for as secured financings.</w:t>
      </w:r>
    </w:p>
    <w:p>
      <w:pPr>
        <w:spacing w:after="0" w:line="38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discloses those securities that had unrealized losses for a period less than 12 months and for 12 months or longer:</w:t>
      </w:r>
    </w:p>
    <w:p>
      <w:pPr>
        <w:spacing w:after="0" w:line="235"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3120" w:type="dxa"/>
            <w:vAlign w:val="bottom"/>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600" w:type="dxa"/>
            <w:vAlign w:val="bottom"/>
            <w:tcBorders>
              <w:bottom w:val="single" w:sz="8" w:color="auto"/>
            </w:tcBorders>
            <w:gridSpan w:val="4"/>
          </w:tcPr>
          <w:p>
            <w:pPr>
              <w:ind w:left="420"/>
              <w:spacing w:after="0"/>
              <w:rPr>
                <w:sz w:val="20"/>
                <w:szCs w:val="20"/>
                <w:color w:val="auto"/>
              </w:rPr>
            </w:pPr>
            <w:r>
              <w:rPr>
                <w:rFonts w:ascii="Arial" w:cs="Arial" w:eastAsia="Arial" w:hAnsi="Arial"/>
                <w:sz w:val="18"/>
                <w:szCs w:val="18"/>
                <w:b w:val="1"/>
                <w:bCs w:val="1"/>
                <w:color w:val="auto"/>
              </w:rPr>
              <w:t>September 30, 2016</w:t>
            </w:r>
          </w:p>
        </w:tc>
        <w:tc>
          <w:tcPr>
            <w:tcW w:w="10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223"/>
        </w:trPr>
        <w:tc>
          <w:tcPr>
            <w:tcW w:w="3120" w:type="dxa"/>
            <w:vAlign w:val="bottom"/>
          </w:tcPr>
          <w:p>
            <w:pPr>
              <w:spacing w:after="0"/>
              <w:rPr>
                <w:sz w:val="19"/>
                <w:szCs w:val="19"/>
                <w:color w:val="auto"/>
              </w:rPr>
            </w:pPr>
          </w:p>
        </w:tc>
        <w:tc>
          <w:tcPr>
            <w:tcW w:w="2580" w:type="dxa"/>
            <w:vAlign w:val="bottom"/>
            <w:gridSpan w:val="4"/>
          </w:tcPr>
          <w:p>
            <w:pPr>
              <w:ind w:left="40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2320" w:type="dxa"/>
            <w:vAlign w:val="bottom"/>
            <w:gridSpan w:val="3"/>
          </w:tcPr>
          <w:p>
            <w:pPr>
              <w:jc w:val="right"/>
              <w:ind w:right="87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3120" w:type="dxa"/>
            <w:vAlign w:val="bottom"/>
          </w:tcPr>
          <w:p>
            <w:pPr>
              <w:spacing w:after="0"/>
              <w:rPr>
                <w:sz w:val="16"/>
                <w:szCs w:val="16"/>
                <w:color w:val="auto"/>
              </w:rPr>
            </w:pPr>
          </w:p>
        </w:tc>
        <w:tc>
          <w:tcPr>
            <w:tcW w:w="1300" w:type="dxa"/>
            <w:vAlign w:val="bottom"/>
            <w:tcBorders>
              <w:top w:val="single" w:sz="8" w:color="auto"/>
            </w:tcBorders>
            <w:gridSpan w:val="2"/>
          </w:tcPr>
          <w:p>
            <w:pPr>
              <w:ind w:left="3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70"/>
              <w:spacing w:after="0" w:line="191" w:lineRule="exact"/>
              <w:rPr>
                <w:sz w:val="20"/>
                <w:szCs w:val="20"/>
                <w:color w:val="auto"/>
              </w:rPr>
            </w:pPr>
            <w:r>
              <w:rPr>
                <w:rFonts w:ascii="Arial" w:cs="Arial" w:eastAsia="Arial" w:hAnsi="Arial"/>
                <w:sz w:val="18"/>
                <w:szCs w:val="18"/>
                <w:b w:val="1"/>
                <w:bCs w:val="1"/>
                <w:color w:val="auto"/>
                <w:w w:val="98"/>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260" w:type="dxa"/>
            <w:vAlign w:val="bottom"/>
            <w:tcBorders>
              <w:top w:val="single" w:sz="8" w:color="auto"/>
            </w:tcBorders>
            <w:gridSpan w:val="2"/>
          </w:tcPr>
          <w:p>
            <w:pPr>
              <w:jc w:val="right"/>
              <w:ind w:right="580"/>
              <w:spacing w:after="0" w:line="191" w:lineRule="exact"/>
              <w:rPr>
                <w:sz w:val="20"/>
                <w:szCs w:val="20"/>
                <w:color w:val="auto"/>
              </w:rPr>
            </w:pPr>
            <w:r>
              <w:rPr>
                <w:rFonts w:ascii="Arial" w:cs="Arial" w:eastAsia="Arial" w:hAnsi="Arial"/>
                <w:sz w:val="18"/>
                <w:szCs w:val="18"/>
                <w:b w:val="1"/>
                <w:bCs w:val="1"/>
                <w:color w:val="auto"/>
              </w:rPr>
              <w:t>Fair</w:t>
            </w: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100" w:type="dxa"/>
            <w:vAlign w:val="bottom"/>
          </w:tcPr>
          <w:p>
            <w:pPr>
              <w:spacing w:after="0"/>
              <w:rPr>
                <w:sz w:val="16"/>
                <w:szCs w:val="16"/>
                <w:color w:val="auto"/>
              </w:rPr>
            </w:pPr>
          </w:p>
        </w:tc>
      </w:tr>
      <w:tr>
        <w:trPr>
          <w:trHeight w:val="234"/>
        </w:trPr>
        <w:tc>
          <w:tcPr>
            <w:tcW w:w="3120" w:type="dxa"/>
            <w:vAlign w:val="bottom"/>
          </w:tcPr>
          <w:p>
            <w:pPr>
              <w:spacing w:after="0"/>
              <w:rPr>
                <w:sz w:val="20"/>
                <w:szCs w:val="20"/>
                <w:color w:val="auto"/>
              </w:rPr>
            </w:pP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Value</w:t>
            </w:r>
          </w:p>
        </w:tc>
        <w:tc>
          <w:tcPr>
            <w:tcW w:w="1280" w:type="dxa"/>
            <w:vAlign w:val="bottom"/>
            <w:gridSpan w:val="2"/>
          </w:tcPr>
          <w:p>
            <w:pPr>
              <w:ind w:left="4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5"/>
              </w:rPr>
              <w:t>Gross Losses</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Value</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3"/>
              </w:rPr>
              <w:t>Gross Losses</w:t>
            </w:r>
          </w:p>
        </w:tc>
      </w:tr>
      <w:tr>
        <w:trPr>
          <w:trHeight w:val="210"/>
        </w:trPr>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ind w:left="680"/>
              <w:spacing w:after="0"/>
              <w:rPr>
                <w:sz w:val="20"/>
                <w:szCs w:val="20"/>
                <w:color w:val="auto"/>
              </w:rPr>
            </w:pPr>
            <w:r>
              <w:rPr>
                <w:rFonts w:ascii="Arial" w:cs="Arial" w:eastAsia="Arial" w:hAnsi="Arial"/>
                <w:sz w:val="18"/>
                <w:szCs w:val="18"/>
                <w:color w:val="auto"/>
                <w:w w:val="84"/>
              </w:rPr>
              <w:t>5,200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5,200</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120" w:type="dxa"/>
            <w:vAlign w:val="bottom"/>
          </w:tcPr>
          <w:p>
            <w:pPr>
              <w:spacing w:after="0"/>
              <w:rPr>
                <w:sz w:val="20"/>
                <w:szCs w:val="20"/>
                <w:color w:val="auto"/>
              </w:rPr>
            </w:pPr>
            <w:r>
              <w:rPr>
                <w:rFonts w:ascii="Arial" w:cs="Arial" w:eastAsia="Arial" w:hAnsi="Arial"/>
                <w:sz w:val="18"/>
                <w:szCs w:val="18"/>
                <w:color w:val="auto"/>
              </w:rPr>
              <w:t>Sovereign debt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300" w:type="dxa"/>
            <w:vAlign w:val="bottom"/>
            <w:gridSpan w:val="2"/>
          </w:tcPr>
          <w:p>
            <w:pPr>
              <w:ind w:left="600"/>
              <w:spacing w:after="0"/>
              <w:rPr>
                <w:sz w:val="20"/>
                <w:szCs w:val="20"/>
                <w:color w:val="auto"/>
              </w:rPr>
            </w:pPr>
            <w:r>
              <w:rPr>
                <w:rFonts w:ascii="Arial" w:cs="Arial" w:eastAsia="Arial" w:hAnsi="Arial"/>
                <w:sz w:val="18"/>
                <w:szCs w:val="18"/>
                <w:color w:val="auto"/>
              </w:rPr>
              <w:t>17,105</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505</w:t>
            </w: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17,105</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505</w:t>
            </w:r>
          </w:p>
        </w:tc>
      </w:tr>
      <w:tr>
        <w:trPr>
          <w:trHeight w:val="223"/>
        </w:trPr>
        <w:tc>
          <w:tcPr>
            <w:tcW w:w="3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ind w:left="600"/>
              <w:spacing w:after="0"/>
              <w:rPr>
                <w:sz w:val="20"/>
                <w:szCs w:val="20"/>
                <w:color w:val="auto"/>
              </w:rPr>
            </w:pPr>
            <w:r>
              <w:rPr>
                <w:rFonts w:ascii="Arial" w:cs="Arial" w:eastAsia="Arial" w:hAnsi="Arial"/>
                <w:sz w:val="18"/>
                <w:szCs w:val="18"/>
                <w:b w:val="1"/>
                <w:bCs w:val="1"/>
                <w:color w:val="auto"/>
                <w:w w:val="83"/>
              </w:rPr>
              <w:t>22,305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22,305</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3120" w:type="dxa"/>
            <w:vAlign w:val="bottom"/>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4"/>
          </w:tcPr>
          <w:p>
            <w:pPr>
              <w:ind w:left="440"/>
              <w:spacing w:after="0"/>
              <w:rPr>
                <w:sz w:val="20"/>
                <w:szCs w:val="20"/>
                <w:color w:val="auto"/>
              </w:rPr>
            </w:pPr>
            <w:r>
              <w:rPr>
                <w:rFonts w:ascii="Arial" w:cs="Arial" w:eastAsia="Arial" w:hAnsi="Arial"/>
                <w:sz w:val="18"/>
                <w:szCs w:val="18"/>
                <w:b w:val="1"/>
                <w:bCs w:val="1"/>
                <w:color w:val="auto"/>
              </w:rPr>
              <w:t>December 31, 2015</w:t>
            </w: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223"/>
        </w:trPr>
        <w:tc>
          <w:tcPr>
            <w:tcW w:w="3120" w:type="dxa"/>
            <w:vAlign w:val="bottom"/>
          </w:tcPr>
          <w:p>
            <w:pPr>
              <w:spacing w:after="0"/>
              <w:rPr>
                <w:sz w:val="19"/>
                <w:szCs w:val="19"/>
                <w:color w:val="auto"/>
              </w:rPr>
            </w:pPr>
          </w:p>
        </w:tc>
        <w:tc>
          <w:tcPr>
            <w:tcW w:w="2580" w:type="dxa"/>
            <w:vAlign w:val="bottom"/>
            <w:gridSpan w:val="4"/>
          </w:tcPr>
          <w:p>
            <w:pPr>
              <w:ind w:left="400"/>
              <w:spacing w:after="0"/>
              <w:rPr>
                <w:sz w:val="20"/>
                <w:szCs w:val="20"/>
                <w:color w:val="auto"/>
              </w:rPr>
            </w:pPr>
            <w:r>
              <w:rPr>
                <w:rFonts w:ascii="Arial" w:cs="Arial" w:eastAsia="Arial" w:hAnsi="Arial"/>
                <w:sz w:val="18"/>
                <w:szCs w:val="18"/>
                <w:b w:val="1"/>
                <w:bCs w:val="1"/>
                <w:color w:val="auto"/>
              </w:rPr>
              <w:t>Less than 12 months</w:t>
            </w:r>
          </w:p>
        </w:tc>
        <w:tc>
          <w:tcPr>
            <w:tcW w:w="2600" w:type="dxa"/>
            <w:vAlign w:val="bottom"/>
            <w:gridSpan w:val="4"/>
          </w:tcPr>
          <w:p>
            <w:pPr>
              <w:ind w:left="420"/>
              <w:spacing w:after="0"/>
              <w:rPr>
                <w:sz w:val="20"/>
                <w:szCs w:val="20"/>
                <w:color w:val="auto"/>
              </w:rPr>
            </w:pPr>
            <w:r>
              <w:rPr>
                <w:rFonts w:ascii="Arial" w:cs="Arial" w:eastAsia="Arial" w:hAnsi="Arial"/>
                <w:sz w:val="18"/>
                <w:szCs w:val="18"/>
                <w:b w:val="1"/>
                <w:bCs w:val="1"/>
                <w:color w:val="auto"/>
              </w:rPr>
              <w:t>12 months or longer</w:t>
            </w:r>
          </w:p>
        </w:tc>
        <w:tc>
          <w:tcPr>
            <w:tcW w:w="2320" w:type="dxa"/>
            <w:vAlign w:val="bottom"/>
            <w:gridSpan w:val="3"/>
          </w:tcPr>
          <w:p>
            <w:pPr>
              <w:jc w:val="right"/>
              <w:ind w:right="87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r>
      <w:tr>
        <w:trPr>
          <w:trHeight w:val="191"/>
        </w:trPr>
        <w:tc>
          <w:tcPr>
            <w:tcW w:w="3120" w:type="dxa"/>
            <w:vAlign w:val="bottom"/>
          </w:tcPr>
          <w:p>
            <w:pPr>
              <w:spacing w:after="0"/>
              <w:rPr>
                <w:sz w:val="16"/>
                <w:szCs w:val="16"/>
                <w:color w:val="auto"/>
              </w:rPr>
            </w:pPr>
          </w:p>
        </w:tc>
        <w:tc>
          <w:tcPr>
            <w:tcW w:w="1300" w:type="dxa"/>
            <w:vAlign w:val="bottom"/>
            <w:tcBorders>
              <w:top w:val="single" w:sz="8" w:color="auto"/>
            </w:tcBorders>
            <w:gridSpan w:val="2"/>
          </w:tcPr>
          <w:p>
            <w:pPr>
              <w:ind w:left="34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70"/>
              <w:spacing w:after="0" w:line="191" w:lineRule="exact"/>
              <w:rPr>
                <w:sz w:val="20"/>
                <w:szCs w:val="20"/>
                <w:color w:val="auto"/>
              </w:rPr>
            </w:pPr>
            <w:r>
              <w:rPr>
                <w:rFonts w:ascii="Arial" w:cs="Arial" w:eastAsia="Arial" w:hAnsi="Arial"/>
                <w:sz w:val="18"/>
                <w:szCs w:val="18"/>
                <w:b w:val="1"/>
                <w:bCs w:val="1"/>
                <w:color w:val="auto"/>
                <w:w w:val="98"/>
              </w:rPr>
              <w:t>Unrealized</w:t>
            </w:r>
          </w:p>
        </w:tc>
        <w:tc>
          <w:tcPr>
            <w:tcW w:w="200" w:type="dxa"/>
            <w:vAlign w:val="bottom"/>
          </w:tcPr>
          <w:p>
            <w:pPr>
              <w:spacing w:after="0"/>
              <w:rPr>
                <w:sz w:val="16"/>
                <w:szCs w:val="16"/>
                <w:color w:val="auto"/>
              </w:rPr>
            </w:pPr>
          </w:p>
        </w:tc>
        <w:tc>
          <w:tcPr>
            <w:tcW w:w="1300" w:type="dxa"/>
            <w:vAlign w:val="bottom"/>
            <w:tcBorders>
              <w:top w:val="single" w:sz="8" w:color="auto"/>
            </w:tcBorders>
            <w:gridSpan w:val="2"/>
          </w:tcPr>
          <w:p>
            <w:pPr>
              <w:ind w:left="360"/>
              <w:spacing w:after="0" w:line="191" w:lineRule="exact"/>
              <w:rPr>
                <w:sz w:val="20"/>
                <w:szCs w:val="20"/>
                <w:color w:val="auto"/>
              </w:rPr>
            </w:pPr>
            <w:r>
              <w:rPr>
                <w:rFonts w:ascii="Arial" w:cs="Arial" w:eastAsia="Arial" w:hAnsi="Arial"/>
                <w:sz w:val="18"/>
                <w:szCs w:val="18"/>
                <w:b w:val="1"/>
                <w:bCs w:val="1"/>
                <w:color w:val="auto"/>
              </w:rPr>
              <w:t>Fair</w:t>
            </w:r>
          </w:p>
        </w:tc>
        <w:tc>
          <w:tcPr>
            <w:tcW w:w="1080" w:type="dxa"/>
            <w:vAlign w:val="bottom"/>
            <w:tcBorders>
              <w:top w:val="single" w:sz="8" w:color="auto"/>
            </w:tcBorders>
          </w:tcPr>
          <w:p>
            <w:pPr>
              <w:jc w:val="right"/>
              <w:ind w:right="50"/>
              <w:spacing w:after="0" w:line="191" w:lineRule="exact"/>
              <w:rPr>
                <w:sz w:val="20"/>
                <w:szCs w:val="20"/>
                <w:color w:val="auto"/>
              </w:rPr>
            </w:pPr>
            <w:r>
              <w:rPr>
                <w:rFonts w:ascii="Arial" w:cs="Arial" w:eastAsia="Arial" w:hAnsi="Arial"/>
                <w:sz w:val="18"/>
                <w:szCs w:val="18"/>
                <w:b w:val="1"/>
                <w:bCs w:val="1"/>
                <w:color w:val="auto"/>
              </w:rPr>
              <w:t>Unrealized</w:t>
            </w:r>
          </w:p>
        </w:tc>
        <w:tc>
          <w:tcPr>
            <w:tcW w:w="220" w:type="dxa"/>
            <w:vAlign w:val="bottom"/>
          </w:tcPr>
          <w:p>
            <w:pPr>
              <w:spacing w:after="0"/>
              <w:rPr>
                <w:sz w:val="16"/>
                <w:szCs w:val="16"/>
                <w:color w:val="auto"/>
              </w:rPr>
            </w:pPr>
          </w:p>
        </w:tc>
        <w:tc>
          <w:tcPr>
            <w:tcW w:w="1260" w:type="dxa"/>
            <w:vAlign w:val="bottom"/>
            <w:tcBorders>
              <w:top w:val="single" w:sz="8" w:color="auto"/>
            </w:tcBorders>
            <w:gridSpan w:val="2"/>
          </w:tcPr>
          <w:p>
            <w:pPr>
              <w:jc w:val="right"/>
              <w:ind w:right="580"/>
              <w:spacing w:after="0" w:line="191" w:lineRule="exact"/>
              <w:rPr>
                <w:sz w:val="20"/>
                <w:szCs w:val="20"/>
                <w:color w:val="auto"/>
              </w:rPr>
            </w:pPr>
            <w:r>
              <w:rPr>
                <w:rFonts w:ascii="Arial" w:cs="Arial" w:eastAsia="Arial" w:hAnsi="Arial"/>
                <w:sz w:val="18"/>
                <w:szCs w:val="18"/>
                <w:b w:val="1"/>
                <w:bCs w:val="1"/>
                <w:color w:val="auto"/>
              </w:rPr>
              <w:t>Fair</w:t>
            </w:r>
          </w:p>
        </w:tc>
        <w:tc>
          <w:tcPr>
            <w:tcW w:w="106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100" w:type="dxa"/>
            <w:vAlign w:val="bottom"/>
          </w:tcPr>
          <w:p>
            <w:pPr>
              <w:spacing w:after="0"/>
              <w:rPr>
                <w:sz w:val="16"/>
                <w:szCs w:val="16"/>
                <w:color w:val="auto"/>
              </w:rPr>
            </w:pPr>
          </w:p>
        </w:tc>
      </w:tr>
      <w:tr>
        <w:trPr>
          <w:trHeight w:val="234"/>
        </w:trPr>
        <w:tc>
          <w:tcPr>
            <w:tcW w:w="3120" w:type="dxa"/>
            <w:vAlign w:val="bottom"/>
          </w:tcPr>
          <w:p>
            <w:pPr>
              <w:spacing w:after="0"/>
              <w:rPr>
                <w:sz w:val="20"/>
                <w:szCs w:val="20"/>
                <w:color w:val="auto"/>
              </w:rPr>
            </w:pPr>
          </w:p>
        </w:tc>
        <w:tc>
          <w:tcPr>
            <w:tcW w:w="1300" w:type="dxa"/>
            <w:vAlign w:val="bottom"/>
            <w:gridSpan w:val="2"/>
          </w:tcPr>
          <w:p>
            <w:pPr>
              <w:ind w:left="320"/>
              <w:spacing w:after="0"/>
              <w:rPr>
                <w:sz w:val="20"/>
                <w:szCs w:val="20"/>
                <w:color w:val="auto"/>
              </w:rPr>
            </w:pPr>
            <w:r>
              <w:rPr>
                <w:rFonts w:ascii="Arial" w:cs="Arial" w:eastAsia="Arial" w:hAnsi="Arial"/>
                <w:sz w:val="18"/>
                <w:szCs w:val="18"/>
                <w:b w:val="1"/>
                <w:bCs w:val="1"/>
                <w:color w:val="auto"/>
              </w:rPr>
              <w:t>Value</w:t>
            </w:r>
          </w:p>
        </w:tc>
        <w:tc>
          <w:tcPr>
            <w:tcW w:w="1280" w:type="dxa"/>
            <w:vAlign w:val="bottom"/>
            <w:gridSpan w:val="2"/>
          </w:tcPr>
          <w:p>
            <w:pPr>
              <w:ind w:left="40"/>
              <w:spacing w:after="0"/>
              <w:rPr>
                <w:sz w:val="20"/>
                <w:szCs w:val="20"/>
                <w:color w:val="auto"/>
              </w:rPr>
            </w:pPr>
            <w:r>
              <w:rPr>
                <w:rFonts w:ascii="Arial" w:cs="Arial" w:eastAsia="Arial" w:hAnsi="Arial"/>
                <w:sz w:val="18"/>
                <w:szCs w:val="18"/>
                <w:b w:val="1"/>
                <w:bCs w:val="1"/>
                <w:color w:val="auto"/>
              </w:rPr>
              <w:t>Gross Losses</w:t>
            </w:r>
          </w:p>
        </w:tc>
        <w:tc>
          <w:tcPr>
            <w:tcW w:w="1300" w:type="dxa"/>
            <w:vAlign w:val="bottom"/>
            <w:gridSpan w:val="2"/>
          </w:tcPr>
          <w:p>
            <w:pPr>
              <w:ind w:left="340"/>
              <w:spacing w:after="0"/>
              <w:rPr>
                <w:sz w:val="20"/>
                <w:szCs w:val="20"/>
                <w:color w:val="auto"/>
              </w:rPr>
            </w:pPr>
            <w:r>
              <w:rPr>
                <w:rFonts w:ascii="Arial" w:cs="Arial" w:eastAsia="Arial" w:hAnsi="Arial"/>
                <w:sz w:val="18"/>
                <w:szCs w:val="18"/>
                <w:b w:val="1"/>
                <w:bCs w:val="1"/>
                <w:color w:val="auto"/>
              </w:rPr>
              <w:t>Value</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85"/>
              </w:rPr>
              <w:t>Gross Losses</w:t>
            </w:r>
          </w:p>
        </w:tc>
        <w:tc>
          <w:tcPr>
            <w:tcW w:w="12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Value</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7"/>
              </w:rPr>
              <w:t>Gross Losses</w:t>
            </w:r>
          </w:p>
        </w:tc>
      </w:tr>
      <w:tr>
        <w:trPr>
          <w:trHeight w:val="210"/>
        </w:trPr>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63,611</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1,010</w:t>
            </w: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ind w:left="600"/>
              <w:spacing w:after="0"/>
              <w:rPr>
                <w:sz w:val="20"/>
                <w:szCs w:val="20"/>
                <w:color w:val="auto"/>
              </w:rPr>
            </w:pPr>
            <w:r>
              <w:rPr>
                <w:rFonts w:ascii="Arial" w:cs="Arial" w:eastAsia="Arial" w:hAnsi="Arial"/>
                <w:sz w:val="18"/>
                <w:szCs w:val="18"/>
                <w:color w:val="auto"/>
                <w:w w:val="83"/>
              </w:rPr>
              <w:t>21,204</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9,600</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84,815</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10,610</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3120" w:type="dxa"/>
            <w:vAlign w:val="bottom"/>
          </w:tcPr>
          <w:p>
            <w:pPr>
              <w:spacing w:after="0"/>
              <w:rPr>
                <w:sz w:val="20"/>
                <w:szCs w:val="20"/>
                <w:color w:val="auto"/>
              </w:rPr>
            </w:pPr>
            <w:r>
              <w:rPr>
                <w:rFonts w:ascii="Arial" w:cs="Arial" w:eastAsia="Arial" w:hAnsi="Arial"/>
                <w:sz w:val="18"/>
                <w:szCs w:val="18"/>
                <w:color w:val="auto"/>
              </w:rPr>
              <w:t>Sovereign debt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23,468</w:t>
            </w:r>
          </w:p>
        </w:tc>
        <w:tc>
          <w:tcPr>
            <w:tcW w:w="1280" w:type="dxa"/>
            <w:vAlign w:val="bottom"/>
            <w:gridSpan w:val="2"/>
          </w:tcPr>
          <w:p>
            <w:pPr>
              <w:jc w:val="right"/>
              <w:ind w:right="200"/>
              <w:spacing w:after="0"/>
              <w:rPr>
                <w:sz w:val="20"/>
                <w:szCs w:val="20"/>
                <w:color w:val="auto"/>
              </w:rPr>
            </w:pPr>
            <w:r>
              <w:rPr>
                <w:rFonts w:ascii="Arial" w:cs="Arial" w:eastAsia="Arial" w:hAnsi="Arial"/>
                <w:sz w:val="18"/>
                <w:szCs w:val="18"/>
                <w:color w:val="auto"/>
              </w:rPr>
              <w:t>846</w:t>
            </w:r>
          </w:p>
        </w:tc>
        <w:tc>
          <w:tcPr>
            <w:tcW w:w="1300" w:type="dxa"/>
            <w:vAlign w:val="bottom"/>
            <w:gridSpan w:val="2"/>
          </w:tcPr>
          <w:p>
            <w:pPr>
              <w:ind w:left="600"/>
              <w:spacing w:after="0"/>
              <w:rPr>
                <w:sz w:val="20"/>
                <w:szCs w:val="20"/>
                <w:color w:val="auto"/>
              </w:rPr>
            </w:pPr>
            <w:r>
              <w:rPr>
                <w:rFonts w:ascii="Arial" w:cs="Arial" w:eastAsia="Arial" w:hAnsi="Arial"/>
                <w:sz w:val="18"/>
                <w:szCs w:val="18"/>
                <w:color w:val="auto"/>
              </w:rPr>
              <w:t>33,520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3,350</w:t>
            </w:r>
          </w:p>
        </w:tc>
        <w:tc>
          <w:tcPr>
            <w:tcW w:w="1260" w:type="dxa"/>
            <w:vAlign w:val="bottom"/>
            <w:gridSpan w:val="2"/>
          </w:tcPr>
          <w:p>
            <w:pPr>
              <w:jc w:val="right"/>
              <w:ind w:right="180"/>
              <w:spacing w:after="0"/>
              <w:rPr>
                <w:sz w:val="20"/>
                <w:szCs w:val="20"/>
                <w:color w:val="auto"/>
              </w:rPr>
            </w:pPr>
            <w:r>
              <w:rPr>
                <w:rFonts w:ascii="Arial" w:cs="Arial" w:eastAsia="Arial" w:hAnsi="Arial"/>
                <w:sz w:val="18"/>
                <w:szCs w:val="18"/>
                <w:color w:val="auto"/>
              </w:rPr>
              <w:t>56,988</w:t>
            </w:r>
          </w:p>
        </w:tc>
        <w:tc>
          <w:tcPr>
            <w:tcW w:w="1160" w:type="dxa"/>
            <w:vAlign w:val="bottom"/>
            <w:gridSpan w:val="2"/>
          </w:tcPr>
          <w:p>
            <w:pPr>
              <w:jc w:val="right"/>
              <w:ind w:right="100"/>
              <w:spacing w:after="0"/>
              <w:rPr>
                <w:sz w:val="20"/>
                <w:szCs w:val="20"/>
                <w:color w:val="auto"/>
              </w:rPr>
            </w:pPr>
            <w:r>
              <w:rPr>
                <w:rFonts w:ascii="Arial" w:cs="Arial" w:eastAsia="Arial" w:hAnsi="Arial"/>
                <w:sz w:val="18"/>
                <w:szCs w:val="18"/>
                <w:color w:val="auto"/>
              </w:rPr>
              <w:t>4,196</w:t>
            </w:r>
          </w:p>
        </w:tc>
      </w:tr>
      <w:tr>
        <w:trPr>
          <w:trHeight w:val="223"/>
        </w:trPr>
        <w:tc>
          <w:tcPr>
            <w:tcW w:w="3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87,079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1,856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ind w:left="600"/>
              <w:spacing w:after="0"/>
              <w:rPr>
                <w:sz w:val="20"/>
                <w:szCs w:val="20"/>
                <w:color w:val="auto"/>
              </w:rPr>
            </w:pPr>
            <w:r>
              <w:rPr>
                <w:rFonts w:ascii="Arial" w:cs="Arial" w:eastAsia="Arial" w:hAnsi="Arial"/>
                <w:sz w:val="18"/>
                <w:szCs w:val="18"/>
                <w:b w:val="1"/>
                <w:bCs w:val="1"/>
                <w:color w:val="auto"/>
                <w:w w:val="83"/>
              </w:rPr>
              <w:t>54,724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12,950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141,803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14,806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3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following table presents the realized gains and losses on sale of securities at fair value through other comprehensive income:</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2640" w:type="dxa"/>
            <w:vAlign w:val="bottom"/>
            <w:gridSpan w:val="4"/>
          </w:tcPr>
          <w:p>
            <w:pPr>
              <w:jc w:val="center"/>
              <w:ind w:left="290"/>
              <w:spacing w:after="0"/>
              <w:rPr>
                <w:sz w:val="20"/>
                <w:szCs w:val="20"/>
                <w:color w:val="auto"/>
              </w:rPr>
            </w:pPr>
            <w:r>
              <w:rPr>
                <w:rFonts w:ascii="Arial" w:cs="Arial" w:eastAsia="Arial" w:hAnsi="Arial"/>
                <w:sz w:val="18"/>
                <w:szCs w:val="18"/>
                <w:b w:val="1"/>
                <w:bCs w:val="1"/>
                <w:color w:val="auto"/>
                <w:w w:val="89"/>
              </w:rPr>
              <w:t>Three months ended</w:t>
            </w:r>
          </w:p>
        </w:tc>
        <w:tc>
          <w:tcPr>
            <w:tcW w:w="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80" w:type="dxa"/>
            <w:vAlign w:val="bottom"/>
            <w:gridSpan w:val="5"/>
          </w:tcPr>
          <w:p>
            <w:pPr>
              <w:jc w:val="center"/>
              <w:ind w:right="80"/>
              <w:spacing w:after="0"/>
              <w:rPr>
                <w:sz w:val="20"/>
                <w:szCs w:val="20"/>
                <w:color w:val="auto"/>
              </w:rPr>
            </w:pPr>
            <w:r>
              <w:rPr>
                <w:rFonts w:ascii="Arial" w:cs="Arial" w:eastAsia="Arial" w:hAnsi="Arial"/>
                <w:sz w:val="18"/>
                <w:szCs w:val="18"/>
                <w:b w:val="1"/>
                <w:bCs w:val="1"/>
                <w:color w:val="auto"/>
                <w:w w:val="88"/>
              </w:rPr>
              <w:t>Nine months ended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94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gridSpan w:val="3"/>
          </w:tcPr>
          <w:p>
            <w:pPr>
              <w:jc w:val="center"/>
              <w:ind w:right="560"/>
              <w:spacing w:after="0"/>
              <w:rPr>
                <w:sz w:val="20"/>
                <w:szCs w:val="20"/>
                <w:color w:val="auto"/>
              </w:rPr>
            </w:pPr>
            <w:r>
              <w:rPr>
                <w:rFonts w:ascii="Arial" w:cs="Arial" w:eastAsia="Arial" w:hAnsi="Arial"/>
                <w:sz w:val="18"/>
                <w:szCs w:val="18"/>
                <w:b w:val="1"/>
                <w:bCs w:val="1"/>
                <w:color w:val="auto"/>
                <w:w w:val="89"/>
              </w:rPr>
              <w:t>September 30,</w:t>
            </w:r>
          </w:p>
        </w:tc>
        <w:tc>
          <w:tcPr>
            <w:tcW w:w="3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080" w:type="dxa"/>
            <w:vAlign w:val="bottom"/>
            <w:tcBorders>
              <w:bottom w:val="single" w:sz="8" w:color="auto"/>
            </w:tcBorders>
            <w:gridSpan w:val="3"/>
          </w:tcPr>
          <w:p>
            <w:pPr>
              <w:jc w:val="center"/>
              <w:ind w:left="810"/>
              <w:spacing w:after="0"/>
              <w:rPr>
                <w:sz w:val="20"/>
                <w:szCs w:val="20"/>
                <w:color w:val="auto"/>
              </w:rPr>
            </w:pPr>
            <w:r>
              <w:rPr>
                <w:rFonts w:ascii="Arial" w:cs="Arial" w:eastAsia="Arial" w:hAnsi="Arial"/>
                <w:sz w:val="18"/>
                <w:szCs w:val="18"/>
                <w:b w:val="1"/>
                <w:bCs w:val="1"/>
                <w:color w:val="auto"/>
                <w:w w:val="89"/>
              </w:rPr>
              <w:t>September 30,</w:t>
            </w: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900" w:type="dxa"/>
            <w:vAlign w:val="bottom"/>
            <w:gridSpan w:val="2"/>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b w:val="1"/>
                <w:bCs w:val="1"/>
                <w:color w:val="auto"/>
              </w:rPr>
              <w:t>2016</w:t>
            </w:r>
          </w:p>
        </w:tc>
        <w:tc>
          <w:tcPr>
            <w:tcW w:w="170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2015</w:t>
            </w:r>
          </w:p>
        </w:tc>
        <w:tc>
          <w:tcPr>
            <w:tcW w:w="3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00" w:type="dxa"/>
            <w:vAlign w:val="bottom"/>
          </w:tcPr>
          <w:p>
            <w:pPr>
              <w:jc w:val="right"/>
              <w:ind w:right="410"/>
              <w:spacing w:after="0"/>
              <w:rPr>
                <w:sz w:val="20"/>
                <w:szCs w:val="20"/>
                <w:color w:val="auto"/>
              </w:rPr>
            </w:pPr>
            <w:r>
              <w:rPr>
                <w:rFonts w:ascii="Arial" w:cs="Arial" w:eastAsia="Arial" w:hAnsi="Arial"/>
                <w:sz w:val="18"/>
                <w:szCs w:val="18"/>
                <w:b w:val="1"/>
                <w:bCs w:val="1"/>
                <w:color w:val="auto"/>
                <w:w w:val="94"/>
              </w:rPr>
              <w:t>2015</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Realized gain on sale of securities</w:t>
            </w:r>
          </w:p>
        </w:tc>
        <w:tc>
          <w:tcPr>
            <w:tcW w:w="940" w:type="dxa"/>
            <w:vAlign w:val="bottom"/>
            <w:tcBorders>
              <w:top w:val="single" w:sz="8" w:color="auto"/>
            </w:tcBorders>
            <w:shd w:val="clear" w:color="auto" w:fill="CCEEFF"/>
          </w:tcPr>
          <w:p>
            <w:pPr>
              <w:spacing w:after="0"/>
              <w:rPr>
                <w:sz w:val="18"/>
                <w:szCs w:val="18"/>
                <w:color w:val="auto"/>
              </w:rPr>
            </w:pPr>
          </w:p>
        </w:tc>
        <w:tc>
          <w:tcPr>
            <w:tcW w:w="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7,544</w:t>
            </w:r>
          </w:p>
        </w:tc>
        <w:tc>
          <w:tcPr>
            <w:tcW w:w="20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466</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400" w:type="dxa"/>
            <w:vAlign w:val="bottom"/>
          </w:tcPr>
          <w:p>
            <w:pPr>
              <w:spacing w:after="0"/>
              <w:rPr>
                <w:sz w:val="20"/>
                <w:szCs w:val="20"/>
                <w:color w:val="auto"/>
              </w:rPr>
            </w:pPr>
            <w:r>
              <w:rPr>
                <w:rFonts w:ascii="Arial" w:cs="Arial" w:eastAsia="Arial" w:hAnsi="Arial"/>
                <w:sz w:val="18"/>
                <w:szCs w:val="18"/>
                <w:color w:val="auto"/>
              </w:rPr>
              <w:t>Realized loss on sale of securities</w:t>
            </w:r>
          </w:p>
        </w:tc>
        <w:tc>
          <w:tcPr>
            <w:tcW w:w="940" w:type="dxa"/>
            <w:vAlign w:val="bottom"/>
          </w:tcPr>
          <w:p>
            <w:pPr>
              <w:spacing w:after="0"/>
              <w:rPr>
                <w:sz w:val="19"/>
                <w:szCs w:val="19"/>
                <w:color w:val="auto"/>
              </w:rPr>
            </w:pPr>
          </w:p>
        </w:tc>
        <w:tc>
          <w:tcPr>
            <w:tcW w:w="680" w:type="dxa"/>
            <w:vAlign w:val="bottom"/>
            <w:gridSpan w:val="2"/>
          </w:tcPr>
          <w:p>
            <w:pPr>
              <w:jc w:val="right"/>
              <w:ind w:right="160"/>
              <w:spacing w:after="0"/>
              <w:rPr>
                <w:sz w:val="20"/>
                <w:szCs w:val="20"/>
                <w:color w:val="auto"/>
              </w:rPr>
            </w:pPr>
            <w:r>
              <w:rPr>
                <w:rFonts w:ascii="Arial" w:cs="Arial" w:eastAsia="Arial" w:hAnsi="Arial"/>
                <w:sz w:val="18"/>
                <w:szCs w:val="18"/>
                <w:color w:val="auto"/>
              </w:rPr>
              <w:t>(3)</w:t>
            </w:r>
          </w:p>
        </w:tc>
        <w:tc>
          <w:tcPr>
            <w:tcW w:w="1020" w:type="dxa"/>
            <w:vAlign w:val="bottom"/>
          </w:tcPr>
          <w:p>
            <w:pPr>
              <w:spacing w:after="0"/>
              <w:rPr>
                <w:sz w:val="19"/>
                <w:szCs w:val="19"/>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8"/>
                <w:szCs w:val="18"/>
                <w:color w:val="auto"/>
              </w:rPr>
              <w:t>(95)</w:t>
            </w:r>
          </w:p>
        </w:tc>
        <w:tc>
          <w:tcPr>
            <w:tcW w:w="1600" w:type="dxa"/>
            <w:vAlign w:val="bottom"/>
            <w:gridSpan w:val="2"/>
          </w:tcPr>
          <w:p>
            <w:pPr>
              <w:jc w:val="right"/>
              <w:ind w:right="140"/>
              <w:spacing w:after="0"/>
              <w:rPr>
                <w:sz w:val="20"/>
                <w:szCs w:val="20"/>
                <w:color w:val="auto"/>
              </w:rPr>
            </w:pPr>
            <w:r>
              <w:rPr>
                <w:rFonts w:ascii="Arial" w:cs="Arial" w:eastAsia="Arial" w:hAnsi="Arial"/>
                <w:sz w:val="18"/>
                <w:szCs w:val="18"/>
                <w:color w:val="auto"/>
              </w:rPr>
              <w:t>(7,790)</w:t>
            </w:r>
          </w:p>
        </w:tc>
        <w:tc>
          <w:tcPr>
            <w:tcW w:w="480" w:type="dxa"/>
            <w:vAlign w:val="bottom"/>
          </w:tcPr>
          <w:p>
            <w:pPr>
              <w:spacing w:after="0"/>
              <w:rPr>
                <w:sz w:val="19"/>
                <w:szCs w:val="19"/>
                <w:color w:val="auto"/>
              </w:rPr>
            </w:pPr>
          </w:p>
        </w:tc>
        <w:tc>
          <w:tcPr>
            <w:tcW w:w="1000" w:type="dxa"/>
            <w:vAlign w:val="bottom"/>
            <w:gridSpan w:val="2"/>
          </w:tcPr>
          <w:p>
            <w:pPr>
              <w:jc w:val="right"/>
              <w:ind w:right="40"/>
              <w:spacing w:after="0"/>
              <w:rPr>
                <w:sz w:val="20"/>
                <w:szCs w:val="20"/>
                <w:color w:val="auto"/>
              </w:rPr>
            </w:pPr>
            <w:r>
              <w:rPr>
                <w:rFonts w:ascii="Arial" w:cs="Arial" w:eastAsia="Arial" w:hAnsi="Arial"/>
                <w:sz w:val="18"/>
                <w:szCs w:val="18"/>
                <w:color w:val="auto"/>
              </w:rPr>
              <w:t>(102)</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400" w:type="dxa"/>
            <w:vAlign w:val="bottom"/>
            <w:vMerge w:val="restart"/>
            <w:shd w:val="clear" w:color="auto" w:fill="CCEEFF"/>
          </w:tcPr>
          <w:p>
            <w:pPr>
              <w:spacing w:after="0" w:line="201" w:lineRule="exact"/>
              <w:rPr>
                <w:sz w:val="20"/>
                <w:szCs w:val="20"/>
                <w:color w:val="auto"/>
              </w:rPr>
            </w:pPr>
            <w:r>
              <w:rPr>
                <w:rFonts w:ascii="Arial" w:cs="Arial" w:eastAsia="Arial" w:hAnsi="Arial"/>
                <w:sz w:val="18"/>
                <w:szCs w:val="18"/>
                <w:color w:val="auto"/>
                <w:w w:val="98"/>
              </w:rPr>
              <w:t>Net gain (loss) on sale of securities at fair value through</w:t>
            </w:r>
          </w:p>
        </w:tc>
        <w:tc>
          <w:tcPr>
            <w:tcW w:w="94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20" w:type="dxa"/>
            <w:vAlign w:val="bottom"/>
            <w:shd w:val="clear" w:color="auto" w:fill="000000"/>
          </w:tcPr>
          <w:p>
            <w:pPr>
              <w:spacing w:after="0" w:line="20" w:lineRule="exact"/>
              <w:rPr>
                <w:sz w:val="1"/>
                <w:szCs w:val="1"/>
                <w:color w:val="auto"/>
              </w:rPr>
            </w:pPr>
          </w:p>
        </w:tc>
        <w:tc>
          <w:tcPr>
            <w:tcW w:w="3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500" w:type="dxa"/>
            <w:vAlign w:val="bottom"/>
          </w:tcPr>
          <w:p>
            <w:pPr>
              <w:spacing w:after="0"/>
              <w:rPr>
                <w:sz w:val="15"/>
                <w:szCs w:val="15"/>
                <w:color w:val="auto"/>
              </w:rPr>
            </w:pPr>
          </w:p>
        </w:tc>
        <w:tc>
          <w:tcPr>
            <w:tcW w:w="4400" w:type="dxa"/>
            <w:vAlign w:val="bottom"/>
            <w:vMerge w:val="continue"/>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020" w:type="dxa"/>
            <w:vAlign w:val="bottom"/>
            <w:shd w:val="clear" w:color="auto" w:fill="CCEEFF"/>
          </w:tcPr>
          <w:p>
            <w:pPr>
              <w:spacing w:after="0"/>
              <w:rPr>
                <w:sz w:val="15"/>
                <w:szCs w:val="15"/>
                <w:color w:val="auto"/>
              </w:rPr>
            </w:pPr>
          </w:p>
        </w:tc>
        <w:tc>
          <w:tcPr>
            <w:tcW w:w="60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(65)</w:t>
            </w:r>
          </w:p>
        </w:tc>
        <w:tc>
          <w:tcPr>
            <w:tcW w:w="160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(246)</w:t>
            </w:r>
          </w:p>
        </w:tc>
        <w:tc>
          <w:tcPr>
            <w:tcW w:w="480" w:type="dxa"/>
            <w:vAlign w:val="bottom"/>
            <w:shd w:val="clear" w:color="auto" w:fill="CCEEFF"/>
          </w:tcPr>
          <w:p>
            <w:pPr>
              <w:spacing w:after="0"/>
              <w:rPr>
                <w:sz w:val="15"/>
                <w:szCs w:val="15"/>
                <w:color w:val="auto"/>
              </w:rPr>
            </w:pPr>
          </w:p>
        </w:tc>
        <w:tc>
          <w:tcPr>
            <w:tcW w:w="9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500" w:type="dxa"/>
            <w:vAlign w:val="bottom"/>
          </w:tcPr>
          <w:p>
            <w:pPr>
              <w:spacing w:after="0"/>
              <w:rPr>
                <w:sz w:val="22"/>
                <w:szCs w:val="22"/>
                <w:color w:val="auto"/>
              </w:rPr>
            </w:pPr>
          </w:p>
        </w:tc>
        <w:tc>
          <w:tcPr>
            <w:tcW w:w="4400" w:type="dxa"/>
            <w:vAlign w:val="bottom"/>
            <w:shd w:val="clear" w:color="auto" w:fill="CCEEFF"/>
          </w:tcPr>
          <w:p>
            <w:pPr>
              <w:ind w:left="100"/>
              <w:spacing w:after="0"/>
              <w:rPr>
                <w:sz w:val="20"/>
                <w:szCs w:val="20"/>
                <w:color w:val="auto"/>
              </w:rPr>
            </w:pPr>
            <w:r>
              <w:rPr>
                <w:rFonts w:ascii="Arial" w:cs="Arial" w:eastAsia="Arial" w:hAnsi="Arial"/>
                <w:sz w:val="18"/>
                <w:szCs w:val="18"/>
                <w:color w:val="auto"/>
              </w:rPr>
              <w:t>other comprehensive income</w:t>
            </w:r>
          </w:p>
        </w:tc>
        <w:tc>
          <w:tcPr>
            <w:tcW w:w="940" w:type="dxa"/>
            <w:vAlign w:val="bottom"/>
            <w:shd w:val="clear" w:color="auto" w:fill="CCEEFF"/>
          </w:tcPr>
          <w:p>
            <w:pPr>
              <w:spacing w:after="0"/>
              <w:rPr>
                <w:sz w:val="22"/>
                <w:szCs w:val="22"/>
                <w:color w:val="auto"/>
              </w:rPr>
            </w:pPr>
          </w:p>
        </w:tc>
        <w:tc>
          <w:tcPr>
            <w:tcW w:w="4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69</w:t>
            </w:r>
          </w:p>
        </w:tc>
        <w:tc>
          <w:tcPr>
            <w:tcW w:w="220" w:type="dxa"/>
            <w:vAlign w:val="bottom"/>
            <w:shd w:val="clear" w:color="auto" w:fill="CCEEFF"/>
          </w:tcPr>
          <w:p>
            <w:pPr>
              <w:spacing w:after="0"/>
              <w:rPr>
                <w:sz w:val="22"/>
                <w:szCs w:val="22"/>
                <w:color w:val="auto"/>
              </w:rPr>
            </w:pPr>
          </w:p>
        </w:tc>
        <w:tc>
          <w:tcPr>
            <w:tcW w:w="1020" w:type="dxa"/>
            <w:vAlign w:val="bottom"/>
            <w:shd w:val="clear" w:color="auto" w:fill="CCEEFF"/>
          </w:tcPr>
          <w:p>
            <w:pPr>
              <w:spacing w:after="0"/>
              <w:rPr>
                <w:sz w:val="22"/>
                <w:szCs w:val="22"/>
                <w:color w:val="auto"/>
              </w:rPr>
            </w:pPr>
          </w:p>
        </w:tc>
        <w:tc>
          <w:tcPr>
            <w:tcW w:w="600" w:type="dxa"/>
            <w:vAlign w:val="bottom"/>
            <w:gridSpan w:val="2"/>
            <w:vMerge w:val="continue"/>
            <w:shd w:val="clear" w:color="auto" w:fill="CCEEFF"/>
          </w:tcPr>
          <w:p>
            <w:pPr>
              <w:spacing w:after="0"/>
              <w:rPr>
                <w:sz w:val="22"/>
                <w:szCs w:val="22"/>
                <w:color w:val="auto"/>
              </w:rPr>
            </w:pPr>
          </w:p>
        </w:tc>
        <w:tc>
          <w:tcPr>
            <w:tcW w:w="1600" w:type="dxa"/>
            <w:vAlign w:val="bottom"/>
            <w:gridSpan w:val="2"/>
            <w:vMerge w:val="continue"/>
            <w:shd w:val="clear" w:color="auto" w:fill="CCEEFF"/>
          </w:tcPr>
          <w:p>
            <w:pPr>
              <w:spacing w:after="0"/>
              <w:rPr>
                <w:sz w:val="22"/>
                <w:szCs w:val="22"/>
                <w:color w:val="auto"/>
              </w:rPr>
            </w:pPr>
          </w:p>
        </w:tc>
        <w:tc>
          <w:tcPr>
            <w:tcW w:w="48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364</w:t>
            </w: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40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840" w:type="dxa"/>
            <w:vAlign w:val="bottom"/>
            <w:tcBorders>
              <w:bottom w:val="single" w:sz="8" w:color="auto"/>
            </w:tcBorders>
            <w:gridSpan w:val="3"/>
          </w:tcPr>
          <w:p>
            <w:pPr>
              <w:jc w:val="right"/>
              <w:spacing w:after="0"/>
              <w:rPr>
                <w:sz w:val="20"/>
                <w:szCs w:val="20"/>
                <w:color w:val="auto"/>
              </w:rPr>
            </w:pPr>
            <w:r>
              <w:rPr>
                <w:rFonts w:ascii="Arial" w:cs="Arial" w:eastAsia="Arial" w:hAnsi="Arial"/>
                <w:sz w:val="18"/>
                <w:szCs w:val="18"/>
                <w:color w:val="auto"/>
              </w:rPr>
              <w:t>14</w:t>
            </w:r>
          </w:p>
        </w:tc>
        <w:tc>
          <w:tcPr>
            <w:tcW w:w="4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6" w:name="page17"/>
    <w:bookmarkEnd w:id="1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Securities at fair value through other comprehensive income classified by issuer’s credit quality indicators are as follows:</w:t>
      </w:r>
    </w:p>
    <w:p>
      <w:pPr>
        <w:spacing w:after="0" w:line="221" w:lineRule="exact"/>
        <w:rPr>
          <w:sz w:val="20"/>
          <w:szCs w:val="20"/>
          <w:color w:val="auto"/>
        </w:rPr>
      </w:pPr>
    </w:p>
    <w:tbl>
      <w:tblPr>
        <w:tblLayout w:type="fixed"/>
        <w:tblInd w:w="2160" w:type="dxa"/>
        <w:tblCellMar>
          <w:top w:w="0" w:type="dxa"/>
          <w:left w:w="0" w:type="dxa"/>
          <w:bottom w:w="0" w:type="dxa"/>
          <w:right w:w="0" w:type="dxa"/>
        </w:tblCellMar>
      </w:tblPr>
      <w:tr>
        <w:trPr>
          <w:trHeight w:val="216"/>
        </w:trPr>
        <w:tc>
          <w:tcPr>
            <w:tcW w:w="450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240" w:type="dxa"/>
            <w:vAlign w:val="bottom"/>
            <w:gridSpan w:val="2"/>
          </w:tcPr>
          <w:p>
            <w:pPr>
              <w:spacing w:after="0"/>
              <w:rPr>
                <w:sz w:val="20"/>
                <w:szCs w:val="20"/>
                <w:color w:val="auto"/>
              </w:rPr>
            </w:pPr>
            <w:r>
              <w:rPr>
                <w:rFonts w:ascii="Arial" w:cs="Arial" w:eastAsia="Arial" w:hAnsi="Arial"/>
                <w:sz w:val="18"/>
                <w:szCs w:val="18"/>
                <w:b w:val="1"/>
                <w:bCs w:val="1"/>
                <w:color w:val="auto"/>
                <w:w w:val="99"/>
              </w:rPr>
              <w:t>September 30,</w:t>
            </w:r>
          </w:p>
        </w:tc>
        <w:tc>
          <w:tcPr>
            <w:tcW w:w="1120" w:type="dxa"/>
            <w:vAlign w:val="bottom"/>
            <w:gridSpan w:val="2"/>
          </w:tcPr>
          <w:p>
            <w:pPr>
              <w:jc w:val="right"/>
              <w:ind w:right="80"/>
              <w:spacing w:after="0"/>
              <w:rPr>
                <w:sz w:val="20"/>
                <w:szCs w:val="20"/>
                <w:color w:val="auto"/>
              </w:rPr>
            </w:pPr>
            <w:r>
              <w:rPr>
                <w:rFonts w:ascii="Arial" w:cs="Arial" w:eastAsia="Arial" w:hAnsi="Arial"/>
                <w:sz w:val="18"/>
                <w:szCs w:val="18"/>
                <w:b w:val="1"/>
                <w:bCs w:val="1"/>
                <w:color w:val="auto"/>
                <w:w w:val="87"/>
              </w:rPr>
              <w:t>December 31,</w:t>
            </w:r>
          </w:p>
        </w:tc>
        <w:tc>
          <w:tcPr>
            <w:tcW w:w="0" w:type="dxa"/>
            <w:vAlign w:val="bottom"/>
          </w:tcPr>
          <w:p>
            <w:pPr>
              <w:spacing w:after="0"/>
              <w:rPr>
                <w:sz w:val="1"/>
                <w:szCs w:val="1"/>
                <w:color w:val="auto"/>
              </w:rPr>
            </w:pPr>
          </w:p>
        </w:tc>
      </w:tr>
      <w:tr>
        <w:trPr>
          <w:trHeight w:val="234"/>
        </w:trPr>
        <w:tc>
          <w:tcPr>
            <w:tcW w:w="4500" w:type="dxa"/>
            <w:vAlign w:val="bottom"/>
            <w:tcBorders>
              <w:bottom w:val="single" w:sz="8" w:color="CCEEFF"/>
            </w:tcBorders>
            <w:vMerge w:val="continue"/>
          </w:tcPr>
          <w:p>
            <w:pPr>
              <w:spacing w:after="0"/>
              <w:rPr>
                <w:sz w:val="20"/>
                <w:szCs w:val="20"/>
                <w:color w:val="auto"/>
              </w:rPr>
            </w:pPr>
          </w:p>
        </w:tc>
        <w:tc>
          <w:tcPr>
            <w:tcW w:w="110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2016</w:t>
            </w:r>
          </w:p>
        </w:tc>
        <w:tc>
          <w:tcPr>
            <w:tcW w:w="140" w:type="dxa"/>
            <w:vAlign w:val="bottom"/>
            <w:tcBorders>
              <w:bottom w:val="single" w:sz="8" w:color="CCEEFF"/>
            </w:tcBorders>
          </w:tcPr>
          <w:p>
            <w:pPr>
              <w:spacing w:after="0"/>
              <w:rPr>
                <w:sz w:val="20"/>
                <w:szCs w:val="20"/>
                <w:color w:val="auto"/>
              </w:rPr>
            </w:pPr>
          </w:p>
        </w:tc>
        <w:tc>
          <w:tcPr>
            <w:tcW w:w="104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55,703</w:t>
            </w:r>
          </w:p>
        </w:tc>
        <w:tc>
          <w:tcPr>
            <w:tcW w:w="1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133,989</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50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6,224</w:t>
            </w:r>
          </w:p>
        </w:tc>
        <w:tc>
          <w:tcPr>
            <w:tcW w:w="0" w:type="dxa"/>
            <w:vAlign w:val="bottom"/>
          </w:tcPr>
          <w:p>
            <w:pPr>
              <w:spacing w:after="0"/>
              <w:rPr>
                <w:sz w:val="1"/>
                <w:szCs w:val="1"/>
                <w:color w:val="auto"/>
              </w:rPr>
            </w:pPr>
          </w:p>
        </w:tc>
      </w:tr>
      <w:tr>
        <w:trPr>
          <w:trHeight w:val="216"/>
        </w:trPr>
        <w:tc>
          <w:tcPr>
            <w:tcW w:w="4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1,590</w:t>
            </w:r>
          </w:p>
        </w:tc>
        <w:tc>
          <w:tcPr>
            <w:tcW w:w="0" w:type="dxa"/>
            <w:vAlign w:val="bottom"/>
          </w:tcPr>
          <w:p>
            <w:pPr>
              <w:spacing w:after="0"/>
              <w:rPr>
                <w:sz w:val="1"/>
                <w:szCs w:val="1"/>
                <w:color w:val="auto"/>
              </w:rPr>
            </w:pPr>
          </w:p>
        </w:tc>
      </w:tr>
      <w:tr>
        <w:trPr>
          <w:trHeight w:val="216"/>
        </w:trPr>
        <w:tc>
          <w:tcPr>
            <w:tcW w:w="450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8"/>
                <w:szCs w:val="18"/>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5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1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4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50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100" w:type="dxa"/>
            <w:vAlign w:val="bottom"/>
          </w:tcPr>
          <w:p>
            <w:pPr>
              <w:jc w:val="right"/>
              <w:spacing w:after="0"/>
              <w:rPr>
                <w:sz w:val="20"/>
                <w:szCs w:val="20"/>
                <w:color w:val="auto"/>
              </w:rPr>
            </w:pPr>
            <w:r>
              <w:rPr>
                <w:rFonts w:ascii="Arial" w:cs="Arial" w:eastAsia="Arial" w:hAnsi="Arial"/>
                <w:sz w:val="18"/>
                <w:szCs w:val="18"/>
                <w:color w:val="auto"/>
              </w:rPr>
              <w:t>-</w:t>
            </w:r>
          </w:p>
        </w:tc>
        <w:tc>
          <w:tcPr>
            <w:tcW w:w="14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450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Total</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55,703</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141,803</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50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85" w:lineRule="exact"/>
        <w:rPr>
          <w:sz w:val="20"/>
          <w:szCs w:val="20"/>
          <w:color w:val="auto"/>
        </w:rPr>
      </w:pPr>
    </w:p>
    <w:p>
      <w:pPr>
        <w:ind w:left="2380" w:hanging="211"/>
        <w:spacing w:after="0"/>
        <w:tabs>
          <w:tab w:leader="none" w:pos="2380" w:val="left"/>
        </w:tabs>
        <w:numPr>
          <w:ilvl w:val="0"/>
          <w:numId w:val="9"/>
        </w:numPr>
        <w:rPr>
          <w:rFonts w:ascii="Arial" w:cs="Arial" w:eastAsia="Arial" w:hAnsi="Arial"/>
          <w:sz w:val="25"/>
          <w:szCs w:val="25"/>
          <w:color w:val="auto"/>
          <w:vertAlign w:val="superscript"/>
        </w:rPr>
      </w:pPr>
      <w:r>
        <w:rPr>
          <w:rFonts w:ascii="Arial" w:cs="Arial" w:eastAsia="Arial" w:hAnsi="Arial"/>
          <w:sz w:val="16"/>
          <w:szCs w:val="16"/>
          <w:color w:val="auto"/>
        </w:rPr>
        <w:t>Current ratings as of September 30, 2016 and December 31, 2015, respectively.</w:t>
      </w:r>
    </w:p>
    <w:p>
      <w:pPr>
        <w:spacing w:after="0" w:line="202" w:lineRule="exact"/>
        <w:rPr>
          <w:sz w:val="20"/>
          <w:szCs w:val="20"/>
          <w:color w:val="auto"/>
        </w:rPr>
      </w:pPr>
    </w:p>
    <w:p>
      <w:pPr>
        <w:ind w:left="500"/>
        <w:spacing w:after="0"/>
        <w:rPr>
          <w:sz w:val="20"/>
          <w:szCs w:val="20"/>
          <w:color w:val="auto"/>
        </w:rPr>
      </w:pPr>
      <w:r>
        <w:rPr>
          <w:rFonts w:ascii="Arial" w:cs="Arial" w:eastAsia="Arial" w:hAnsi="Arial"/>
          <w:sz w:val="16"/>
          <w:szCs w:val="16"/>
          <w:color w:val="auto"/>
        </w:rPr>
        <w:t>The amortized cost and fair value of securities at fair value through other comprehensive income by contractual maturity as of September 30, 2016 and</w:t>
      </w:r>
    </w:p>
    <w:p>
      <w:pPr>
        <w:spacing w:after="0" w:line="4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December 31, 2015 are shown in the following tables:</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3680" w:type="dxa"/>
            <w:vAlign w:val="bottom"/>
          </w:tcPr>
          <w:p>
            <w:pPr>
              <w:spacing w:after="0"/>
              <w:rPr>
                <w:sz w:val="20"/>
                <w:szCs w:val="20"/>
                <w:color w:val="auto"/>
              </w:rPr>
            </w:pPr>
          </w:p>
        </w:tc>
        <w:tc>
          <w:tcPr>
            <w:tcW w:w="3140" w:type="dxa"/>
            <w:vAlign w:val="bottom"/>
          </w:tcPr>
          <w:p>
            <w:pPr>
              <w:spacing w:after="0"/>
              <w:rPr>
                <w:sz w:val="20"/>
                <w:szCs w:val="20"/>
                <w:color w:val="auto"/>
              </w:rPr>
            </w:pPr>
          </w:p>
        </w:tc>
        <w:tc>
          <w:tcPr>
            <w:tcW w:w="36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9"/>
              </w:rPr>
              <w:t>September 30, 2016</w:t>
            </w:r>
          </w:p>
        </w:tc>
        <w:tc>
          <w:tcPr>
            <w:tcW w:w="2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3140" w:type="dxa"/>
            <w:vAlign w:val="bottom"/>
          </w:tcPr>
          <w:p>
            <w:pPr>
              <w:spacing w:after="0"/>
              <w:rPr>
                <w:sz w:val="19"/>
                <w:szCs w:val="19"/>
                <w:color w:val="auto"/>
              </w:rPr>
            </w:pPr>
          </w:p>
        </w:tc>
        <w:tc>
          <w:tcPr>
            <w:tcW w:w="1920" w:type="dxa"/>
            <w:vAlign w:val="bottom"/>
            <w:tcBorders>
              <w:top w:val="single" w:sz="8" w:color="auto"/>
            </w:tcBorders>
            <w:gridSpan w:val="2"/>
          </w:tcPr>
          <w:p>
            <w:pPr>
              <w:ind w:left="240"/>
              <w:spacing w:after="0"/>
              <w:rPr>
                <w:sz w:val="20"/>
                <w:szCs w:val="20"/>
                <w:color w:val="auto"/>
              </w:rPr>
            </w:pPr>
            <w:r>
              <w:rPr>
                <w:rFonts w:ascii="Arial" w:cs="Arial" w:eastAsia="Arial" w:hAnsi="Arial"/>
                <w:sz w:val="18"/>
                <w:szCs w:val="18"/>
                <w:b w:val="1"/>
                <w:bCs w:val="1"/>
                <w:color w:val="auto"/>
              </w:rPr>
              <w:t>Amortized Cost</w:t>
            </w:r>
          </w:p>
        </w:tc>
        <w:tc>
          <w:tcPr>
            <w:tcW w:w="166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Fair Value</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36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314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21,188</w:t>
            </w:r>
          </w:p>
        </w:tc>
        <w:tc>
          <w:tcPr>
            <w:tcW w:w="22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21,866</w:t>
            </w: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68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5060" w:type="dxa"/>
            <w:vAlign w:val="bottom"/>
            <w:gridSpan w:val="3"/>
          </w:tcPr>
          <w:p>
            <w:pPr>
              <w:jc w:val="right"/>
              <w:ind w:right="220"/>
              <w:spacing w:after="0"/>
              <w:rPr>
                <w:sz w:val="20"/>
                <w:szCs w:val="20"/>
                <w:color w:val="auto"/>
              </w:rPr>
            </w:pPr>
            <w:r>
              <w:rPr>
                <w:rFonts w:ascii="Arial" w:cs="Arial" w:eastAsia="Arial" w:hAnsi="Arial"/>
                <w:sz w:val="18"/>
                <w:szCs w:val="18"/>
                <w:color w:val="auto"/>
              </w:rPr>
              <w:t>28,639</w:t>
            </w:r>
          </w:p>
        </w:tc>
        <w:tc>
          <w:tcPr>
            <w:tcW w:w="1740" w:type="dxa"/>
            <w:vAlign w:val="bottom"/>
            <w:gridSpan w:val="2"/>
          </w:tcPr>
          <w:p>
            <w:pPr>
              <w:jc w:val="right"/>
              <w:ind w:right="80"/>
              <w:spacing w:after="0"/>
              <w:rPr>
                <w:sz w:val="20"/>
                <w:szCs w:val="20"/>
                <w:color w:val="auto"/>
              </w:rPr>
            </w:pPr>
            <w:r>
              <w:rPr>
                <w:rFonts w:ascii="Arial" w:cs="Arial" w:eastAsia="Arial" w:hAnsi="Arial"/>
                <w:sz w:val="18"/>
                <w:szCs w:val="18"/>
                <w:color w:val="auto"/>
              </w:rPr>
              <w:t>28,579</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50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5,298</w:t>
            </w:r>
          </w:p>
        </w:tc>
        <w:tc>
          <w:tcPr>
            <w:tcW w:w="17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5,258</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314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55,125</w:t>
            </w:r>
          </w:p>
        </w:tc>
        <w:tc>
          <w:tcPr>
            <w:tcW w:w="220" w:type="dxa"/>
            <w:vAlign w:val="bottom"/>
          </w:tcPr>
          <w:p>
            <w:pPr>
              <w:spacing w:after="0"/>
              <w:rPr>
                <w:sz w:val="19"/>
                <w:szCs w:val="19"/>
                <w:color w:val="auto"/>
              </w:rPr>
            </w:pPr>
          </w:p>
        </w:tc>
        <w:tc>
          <w:tcPr>
            <w:tcW w:w="1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55,703</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314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60" w:type="dxa"/>
            <w:vAlign w:val="bottom"/>
          </w:tcPr>
          <w:p>
            <w:pPr>
              <w:spacing w:after="0"/>
              <w:rPr>
                <w:sz w:val="24"/>
                <w:szCs w:val="24"/>
                <w:color w:val="auto"/>
              </w:rPr>
            </w:pPr>
          </w:p>
        </w:tc>
        <w:tc>
          <w:tcPr>
            <w:tcW w:w="3680" w:type="dxa"/>
            <w:vAlign w:val="bottom"/>
          </w:tcPr>
          <w:p>
            <w:pPr>
              <w:spacing w:after="0"/>
              <w:rPr>
                <w:sz w:val="24"/>
                <w:szCs w:val="24"/>
                <w:color w:val="auto"/>
              </w:rPr>
            </w:pPr>
          </w:p>
        </w:tc>
        <w:tc>
          <w:tcPr>
            <w:tcW w:w="3140" w:type="dxa"/>
            <w:vAlign w:val="bottom"/>
          </w:tcPr>
          <w:p>
            <w:pPr>
              <w:spacing w:after="0"/>
              <w:rPr>
                <w:sz w:val="24"/>
                <w:szCs w:val="24"/>
                <w:color w:val="auto"/>
              </w:rPr>
            </w:pPr>
          </w:p>
        </w:tc>
        <w:tc>
          <w:tcPr>
            <w:tcW w:w="36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90"/>
              </w:rPr>
              <w:t>December 31, 2015</w:t>
            </w:r>
          </w:p>
        </w:tc>
        <w:tc>
          <w:tcPr>
            <w:tcW w:w="2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3140" w:type="dxa"/>
            <w:vAlign w:val="bottom"/>
          </w:tcPr>
          <w:p>
            <w:pPr>
              <w:spacing w:after="0"/>
              <w:rPr>
                <w:sz w:val="19"/>
                <w:szCs w:val="19"/>
                <w:color w:val="auto"/>
              </w:rPr>
            </w:pPr>
          </w:p>
        </w:tc>
        <w:tc>
          <w:tcPr>
            <w:tcW w:w="1920" w:type="dxa"/>
            <w:vAlign w:val="bottom"/>
            <w:tcBorders>
              <w:top w:val="single" w:sz="8" w:color="auto"/>
            </w:tcBorders>
            <w:gridSpan w:val="2"/>
          </w:tcPr>
          <w:p>
            <w:pPr>
              <w:ind w:left="240"/>
              <w:spacing w:after="0"/>
              <w:rPr>
                <w:sz w:val="20"/>
                <w:szCs w:val="20"/>
                <w:color w:val="auto"/>
              </w:rPr>
            </w:pPr>
            <w:r>
              <w:rPr>
                <w:rFonts w:ascii="Arial" w:cs="Arial" w:eastAsia="Arial" w:hAnsi="Arial"/>
                <w:sz w:val="18"/>
                <w:szCs w:val="18"/>
                <w:b w:val="1"/>
                <w:bCs w:val="1"/>
                <w:color w:val="auto"/>
              </w:rPr>
              <w:t>Amortized Cost</w:t>
            </w:r>
          </w:p>
        </w:tc>
        <w:tc>
          <w:tcPr>
            <w:tcW w:w="1660" w:type="dxa"/>
            <w:vAlign w:val="bottom"/>
            <w:tcBorders>
              <w:top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Fair Value</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60" w:type="dxa"/>
            <w:vAlign w:val="bottom"/>
          </w:tcPr>
          <w:p>
            <w:pPr>
              <w:spacing w:after="0"/>
              <w:rPr>
                <w:sz w:val="18"/>
                <w:szCs w:val="18"/>
                <w:color w:val="auto"/>
              </w:rPr>
            </w:pPr>
          </w:p>
        </w:tc>
        <w:tc>
          <w:tcPr>
            <w:tcW w:w="36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314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21,068</w:t>
            </w:r>
          </w:p>
        </w:tc>
        <w:tc>
          <w:tcPr>
            <w:tcW w:w="220" w:type="dxa"/>
            <w:vAlign w:val="bottom"/>
            <w:tcBorders>
              <w:top w:val="single" w:sz="8" w:color="CCEEFF"/>
            </w:tcBorders>
            <w:shd w:val="clear" w:color="auto" w:fill="CCEEFF"/>
          </w:tcPr>
          <w:p>
            <w:pPr>
              <w:spacing w:after="0"/>
              <w:rPr>
                <w:sz w:val="18"/>
                <w:szCs w:val="18"/>
                <w:color w:val="auto"/>
              </w:rPr>
            </w:pPr>
          </w:p>
        </w:tc>
        <w:tc>
          <w:tcPr>
            <w:tcW w:w="16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20,212</w:t>
            </w:r>
          </w:p>
        </w:tc>
        <w:tc>
          <w:tcPr>
            <w:tcW w:w="80" w:type="dxa"/>
            <w:vAlign w:val="bottom"/>
            <w:tcBorders>
              <w:top w:val="single" w:sz="8" w:color="CCEEFF"/>
            </w:tcBorders>
            <w:shd w:val="clear" w:color="auto" w:fill="CCEEFF"/>
          </w:tcPr>
          <w:p>
            <w:pPr>
              <w:spacing w:after="0"/>
              <w:rPr>
                <w:sz w:val="18"/>
                <w:szCs w:val="18"/>
                <w:color w:val="auto"/>
              </w:rPr>
            </w:pP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60" w:type="dxa"/>
            <w:vAlign w:val="bottom"/>
          </w:tcPr>
          <w:p>
            <w:pPr>
              <w:spacing w:after="0"/>
              <w:rPr>
                <w:sz w:val="18"/>
                <w:szCs w:val="18"/>
                <w:color w:val="auto"/>
              </w:rPr>
            </w:pPr>
          </w:p>
        </w:tc>
        <w:tc>
          <w:tcPr>
            <w:tcW w:w="368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5060" w:type="dxa"/>
            <w:vAlign w:val="bottom"/>
            <w:gridSpan w:val="3"/>
          </w:tcPr>
          <w:p>
            <w:pPr>
              <w:jc w:val="right"/>
              <w:ind w:right="220"/>
              <w:spacing w:after="0"/>
              <w:rPr>
                <w:sz w:val="20"/>
                <w:szCs w:val="20"/>
                <w:color w:val="auto"/>
              </w:rPr>
            </w:pPr>
            <w:r>
              <w:rPr>
                <w:rFonts w:ascii="Arial" w:cs="Arial" w:eastAsia="Arial" w:hAnsi="Arial"/>
                <w:sz w:val="18"/>
                <w:szCs w:val="18"/>
                <w:color w:val="auto"/>
              </w:rPr>
              <w:t>79,689</w:t>
            </w:r>
          </w:p>
        </w:tc>
        <w:tc>
          <w:tcPr>
            <w:tcW w:w="1740" w:type="dxa"/>
            <w:vAlign w:val="bottom"/>
            <w:gridSpan w:val="2"/>
          </w:tcPr>
          <w:p>
            <w:pPr>
              <w:jc w:val="right"/>
              <w:ind w:right="80"/>
              <w:spacing w:after="0"/>
              <w:rPr>
                <w:sz w:val="20"/>
                <w:szCs w:val="20"/>
                <w:color w:val="auto"/>
              </w:rPr>
            </w:pPr>
            <w:r>
              <w:rPr>
                <w:rFonts w:ascii="Arial" w:cs="Arial" w:eastAsia="Arial" w:hAnsi="Arial"/>
                <w:sz w:val="18"/>
                <w:szCs w:val="18"/>
                <w:color w:val="auto"/>
              </w:rPr>
              <w:t>69,625</w:t>
            </w:r>
          </w:p>
        </w:tc>
        <w:tc>
          <w:tcPr>
            <w:tcW w:w="2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60" w:type="dxa"/>
            <w:vAlign w:val="bottom"/>
          </w:tcPr>
          <w:p>
            <w:pPr>
              <w:spacing w:after="0"/>
              <w:rPr>
                <w:sz w:val="19"/>
                <w:szCs w:val="19"/>
                <w:color w:val="auto"/>
              </w:rPr>
            </w:pPr>
          </w:p>
        </w:tc>
        <w:tc>
          <w:tcPr>
            <w:tcW w:w="368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506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55,852</w:t>
            </w:r>
          </w:p>
        </w:tc>
        <w:tc>
          <w:tcPr>
            <w:tcW w:w="17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51,966</w:t>
            </w: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660" w:type="dxa"/>
            <w:vAlign w:val="bottom"/>
          </w:tcPr>
          <w:p>
            <w:pPr>
              <w:spacing w:after="0"/>
              <w:rPr>
                <w:sz w:val="19"/>
                <w:szCs w:val="19"/>
                <w:color w:val="auto"/>
              </w:rPr>
            </w:pPr>
          </w:p>
        </w:tc>
        <w:tc>
          <w:tcPr>
            <w:tcW w:w="3680" w:type="dxa"/>
            <w:vAlign w:val="bottom"/>
          </w:tcPr>
          <w:p>
            <w:pPr>
              <w:spacing w:after="0"/>
              <w:rPr>
                <w:sz w:val="19"/>
                <w:szCs w:val="19"/>
                <w:color w:val="auto"/>
              </w:rPr>
            </w:pPr>
          </w:p>
        </w:tc>
        <w:tc>
          <w:tcPr>
            <w:tcW w:w="3140" w:type="dxa"/>
            <w:vAlign w:val="bottom"/>
          </w:tcPr>
          <w:p>
            <w:pPr>
              <w:spacing w:after="0"/>
              <w:rPr>
                <w:sz w:val="19"/>
                <w:szCs w:val="19"/>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156,609</w:t>
            </w:r>
          </w:p>
        </w:tc>
        <w:tc>
          <w:tcPr>
            <w:tcW w:w="220" w:type="dxa"/>
            <w:vAlign w:val="bottom"/>
          </w:tcPr>
          <w:p>
            <w:pPr>
              <w:spacing w:after="0"/>
              <w:rPr>
                <w:sz w:val="19"/>
                <w:szCs w:val="19"/>
                <w:color w:val="auto"/>
              </w:rPr>
            </w:pPr>
          </w:p>
        </w:tc>
        <w:tc>
          <w:tcPr>
            <w:tcW w:w="16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141,803</w:t>
            </w:r>
          </w:p>
        </w:tc>
        <w:tc>
          <w:tcPr>
            <w:tcW w:w="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60" w:type="dxa"/>
            <w:vAlign w:val="bottom"/>
          </w:tcPr>
          <w:p>
            <w:pPr>
              <w:spacing w:after="0" w:line="20" w:lineRule="exact"/>
              <w:rPr>
                <w:sz w:val="1"/>
                <w:szCs w:val="1"/>
                <w:color w:val="auto"/>
              </w:rPr>
            </w:pPr>
          </w:p>
        </w:tc>
        <w:tc>
          <w:tcPr>
            <w:tcW w:w="3680" w:type="dxa"/>
            <w:vAlign w:val="bottom"/>
          </w:tcPr>
          <w:p>
            <w:pPr>
              <w:spacing w:after="0" w:line="20" w:lineRule="exact"/>
              <w:rPr>
                <w:sz w:val="1"/>
                <w:szCs w:val="1"/>
                <w:color w:val="auto"/>
              </w:rPr>
            </w:pPr>
          </w:p>
        </w:tc>
        <w:tc>
          <w:tcPr>
            <w:tcW w:w="3140" w:type="dxa"/>
            <w:vAlign w:val="bottom"/>
            <w:vMerge w:val="restart"/>
          </w:tcPr>
          <w:p>
            <w:pPr>
              <w:jc w:val="right"/>
              <w:ind w:right="1550"/>
              <w:spacing w:after="0"/>
              <w:rPr>
                <w:sz w:val="20"/>
                <w:szCs w:val="20"/>
                <w:color w:val="auto"/>
              </w:rPr>
            </w:pPr>
            <w:r>
              <w:rPr>
                <w:rFonts w:ascii="Arial" w:cs="Arial" w:eastAsia="Arial" w:hAnsi="Arial"/>
                <w:sz w:val="18"/>
                <w:szCs w:val="18"/>
                <w:color w:val="auto"/>
              </w:rPr>
              <w:t>15</w:t>
            </w:r>
          </w:p>
        </w:tc>
        <w:tc>
          <w:tcPr>
            <w:tcW w:w="1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660" w:type="dxa"/>
            <w:vAlign w:val="bottom"/>
            <w:tcBorders>
              <w:bottom w:val="single" w:sz="8" w:color="auto"/>
            </w:tcBorders>
          </w:tcPr>
          <w:p>
            <w:pPr>
              <w:spacing w:after="0"/>
              <w:rPr>
                <w:sz w:val="24"/>
                <w:szCs w:val="24"/>
                <w:color w:val="auto"/>
              </w:rPr>
            </w:pPr>
          </w:p>
        </w:tc>
        <w:tc>
          <w:tcPr>
            <w:tcW w:w="3680" w:type="dxa"/>
            <w:vAlign w:val="bottom"/>
            <w:tcBorders>
              <w:bottom w:val="single" w:sz="8" w:color="auto"/>
            </w:tcBorders>
          </w:tcPr>
          <w:p>
            <w:pPr>
              <w:spacing w:after="0"/>
              <w:rPr>
                <w:sz w:val="24"/>
                <w:szCs w:val="24"/>
                <w:color w:val="auto"/>
              </w:rPr>
            </w:pPr>
          </w:p>
        </w:tc>
        <w:tc>
          <w:tcPr>
            <w:tcW w:w="3140" w:type="dxa"/>
            <w:vAlign w:val="bottom"/>
            <w:tcBorders>
              <w:bottom w:val="single" w:sz="8" w:color="auto"/>
            </w:tcBorders>
            <w:vMerge w:val="continue"/>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7" w:name="page18"/>
    <w:bookmarkEnd w:id="1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4.3   Securities at fair value through other comprehensive income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fair value through other comprehensive income, which is recorded in equity under accumulated other comprehensive income (loss), is as follow:</w:t>
      </w:r>
    </w:p>
    <w:p>
      <w:pPr>
        <w:spacing w:after="0" w:line="78"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49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w w:val="89"/>
              </w:rPr>
              <w:t xml:space="preserve">Stage 2 </w:t>
            </w:r>
            <w:r>
              <w:rPr>
                <w:rFonts w:ascii="Arial" w:cs="Arial" w:eastAsia="Arial" w:hAnsi="Arial"/>
                <w:sz w:val="30"/>
                <w:szCs w:val="30"/>
                <w:b w:val="1"/>
                <w:bCs w:val="1"/>
                <w:color w:val="auto"/>
                <w:w w:val="89"/>
                <w:vertAlign w:val="superscript"/>
              </w:rPr>
              <w:t>(2)</w:t>
            </w:r>
          </w:p>
        </w:tc>
        <w:tc>
          <w:tcPr>
            <w:tcW w:w="1200" w:type="dxa"/>
            <w:vAlign w:val="bottom"/>
            <w:gridSpan w:val="2"/>
          </w:tcPr>
          <w:p>
            <w:pPr>
              <w:ind w:left="8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9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18"/>
                <w:szCs w:val="18"/>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(collectively</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160" w:type="dxa"/>
            <w:vAlign w:val="bottom"/>
            <w:gridSpan w:val="2"/>
            <w:vMerge w:val="restart"/>
          </w:tcPr>
          <w:p>
            <w:pPr>
              <w:jc w:val="right"/>
              <w:ind w:right="280"/>
              <w:spacing w:after="0"/>
              <w:rPr>
                <w:sz w:val="20"/>
                <w:szCs w:val="20"/>
                <w:color w:val="auto"/>
              </w:rPr>
            </w:pPr>
            <w:r>
              <w:rPr>
                <w:rFonts w:ascii="Arial" w:cs="Arial" w:eastAsia="Arial" w:hAnsi="Arial"/>
                <w:sz w:val="18"/>
                <w:szCs w:val="18"/>
                <w:b w:val="1"/>
                <w:bCs w:val="1"/>
                <w:color w:val="auto"/>
                <w:w w:val="91"/>
              </w:rPr>
              <w:t xml:space="preserve">Stage 3 </w:t>
            </w:r>
            <w:r>
              <w:rPr>
                <w:rFonts w:ascii="Arial" w:cs="Arial" w:eastAsia="Arial" w:hAnsi="Arial"/>
                <w:sz w:val="30"/>
                <w:szCs w:val="30"/>
                <w:b w:val="1"/>
                <w:bCs w:val="1"/>
                <w:color w:val="auto"/>
                <w:w w:val="91"/>
                <w:vertAlign w:val="superscript"/>
              </w:rPr>
              <w:t>(3)</w:t>
            </w: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160" w:type="dxa"/>
            <w:vAlign w:val="bottom"/>
            <w:gridSpan w:val="2"/>
            <w:vMerge w:val="continue"/>
          </w:tcPr>
          <w:p>
            <w:pPr>
              <w:spacing w:after="0"/>
              <w:rPr>
                <w:sz w:val="20"/>
                <w:szCs w:val="20"/>
                <w:color w:val="auto"/>
              </w:rPr>
            </w:pPr>
          </w:p>
        </w:tc>
        <w:tc>
          <w:tcPr>
            <w:tcW w:w="104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7,149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(30)</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456</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426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(107)</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(109)</w:t>
            </w: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(162)</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(67)</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(6,737)</w:t>
            </w: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(6,966)</w:t>
            </w:r>
          </w:p>
        </w:tc>
        <w:tc>
          <w:tcPr>
            <w:tcW w:w="0" w:type="dxa"/>
            <w:vAlign w:val="bottom"/>
          </w:tcPr>
          <w:p>
            <w:pPr>
              <w:spacing w:after="0"/>
              <w:rPr>
                <w:sz w:val="1"/>
                <w:szCs w:val="1"/>
                <w:color w:val="auto"/>
              </w:rPr>
            </w:pPr>
          </w:p>
        </w:tc>
      </w:tr>
      <w:tr>
        <w:trPr>
          <w:trHeight w:val="182"/>
        </w:trPr>
        <w:tc>
          <w:tcPr>
            <w:tcW w:w="49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ind w:left="60"/>
              <w:spacing w:after="0"/>
              <w:rPr>
                <w:sz w:val="20"/>
                <w:szCs w:val="20"/>
                <w:color w:val="auto"/>
              </w:rPr>
            </w:pPr>
            <w:r>
              <w:rPr>
                <w:rFonts w:ascii="Arial" w:cs="Arial" w:eastAsia="Arial" w:hAnsi="Arial"/>
                <w:sz w:val="18"/>
                <w:szCs w:val="18"/>
                <w:color w:val="auto"/>
              </w:rPr>
              <w:t>31, 2015:</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282</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(6,737)</w:t>
            </w: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(6,649)</w:t>
            </w: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28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28</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September 30, 2016</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49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9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18"/>
                <w:szCs w:val="18"/>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(collectively</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160" w:type="dxa"/>
            <w:vAlign w:val="bottom"/>
            <w:gridSpan w:val="2"/>
            <w:vMerge w:val="restart"/>
          </w:tcPr>
          <w:p>
            <w:pPr>
              <w:jc w:val="right"/>
              <w:ind w:right="280"/>
              <w:spacing w:after="0"/>
              <w:rPr>
                <w:sz w:val="20"/>
                <w:szCs w:val="20"/>
                <w:color w:val="auto"/>
              </w:rPr>
            </w:pPr>
            <w:r>
              <w:rPr>
                <w:rFonts w:ascii="Arial" w:cs="Arial" w:eastAsia="Arial" w:hAnsi="Arial"/>
                <w:sz w:val="18"/>
                <w:szCs w:val="18"/>
                <w:b w:val="1"/>
                <w:bCs w:val="1"/>
                <w:color w:val="auto"/>
                <w:w w:val="91"/>
              </w:rPr>
              <w:t xml:space="preserve">Stage 3 </w:t>
            </w:r>
            <w:r>
              <w:rPr>
                <w:rFonts w:ascii="Arial" w:cs="Arial" w:eastAsia="Arial" w:hAnsi="Arial"/>
                <w:sz w:val="30"/>
                <w:szCs w:val="30"/>
                <w:b w:val="1"/>
                <w:bCs w:val="1"/>
                <w:color w:val="auto"/>
                <w:w w:val="91"/>
                <w:vertAlign w:val="superscript"/>
              </w:rPr>
              <w:t>(3)</w:t>
            </w: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160" w:type="dxa"/>
            <w:vAlign w:val="bottom"/>
            <w:gridSpan w:val="2"/>
            <w:vMerge w:val="continue"/>
          </w:tcPr>
          <w:p>
            <w:pPr>
              <w:spacing w:after="0"/>
              <w:rPr>
                <w:sz w:val="20"/>
                <w:szCs w:val="20"/>
                <w:color w:val="auto"/>
              </w:rPr>
            </w:pPr>
          </w:p>
        </w:tc>
        <w:tc>
          <w:tcPr>
            <w:tcW w:w="104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2014</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701</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1,408</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(5,507)</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5,507</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(6,737)</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6,737</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182"/>
        </w:trPr>
        <w:tc>
          <w:tcPr>
            <w:tcW w:w="4940" w:type="dxa"/>
            <w:vAlign w:val="bottom"/>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tcPr>
          <w:p>
            <w:pPr>
              <w:ind w:left="60"/>
              <w:spacing w:after="0"/>
              <w:rPr>
                <w:sz w:val="20"/>
                <w:szCs w:val="20"/>
                <w:color w:val="auto"/>
              </w:rPr>
            </w:pPr>
            <w:r>
              <w:rPr>
                <w:rFonts w:ascii="Arial" w:cs="Arial" w:eastAsia="Arial" w:hAnsi="Arial"/>
                <w:sz w:val="18"/>
                <w:szCs w:val="18"/>
                <w:color w:val="auto"/>
              </w:rPr>
              <w:t>31, 2014:</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(5,784)</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(1,230)</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6,737</w:t>
            </w:r>
          </w:p>
        </w:tc>
        <w:tc>
          <w:tcPr>
            <w:tcW w:w="200" w:type="dxa"/>
            <w:vAlign w:val="bottom"/>
          </w:tcPr>
          <w:p>
            <w:pPr>
              <w:spacing w:after="0"/>
              <w:rPr>
                <w:sz w:val="20"/>
                <w:szCs w:val="20"/>
                <w:color w:val="auto"/>
              </w:rPr>
            </w:pP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5,317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5,317</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6,737</w:t>
            </w:r>
          </w:p>
        </w:tc>
        <w:tc>
          <w:tcPr>
            <w:tcW w:w="2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7,149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4" w:lineRule="exact"/>
        <w:rPr>
          <w:sz w:val="20"/>
          <w:szCs w:val="20"/>
          <w:color w:val="auto"/>
        </w:rPr>
      </w:pPr>
    </w:p>
    <w:p>
      <w:pPr>
        <w:ind w:left="1060" w:hanging="323"/>
        <w:spacing w:after="0"/>
        <w:tabs>
          <w:tab w:leader="none" w:pos="1060" w:val="left"/>
        </w:tabs>
        <w:numPr>
          <w:ilvl w:val="0"/>
          <w:numId w:val="11"/>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1"/>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1"/>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8" w:name="page19"/>
    <w:bookmarkEnd w:id="18"/>
    <w:p>
      <w:pPr>
        <w:ind w:right="54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7"/>
          <w:szCs w:val="17"/>
          <w:color w:val="auto"/>
        </w:rPr>
        <w:t>The amortized cost, related unrealized gross gain (loss) and fair value of these securities by country risk and type of debt are as follows:</w:t>
      </w:r>
    </w:p>
    <w:p>
      <w:pPr>
        <w:spacing w:after="0" w:line="246"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90"/>
              </w:rPr>
              <w:t>September 30, 2016</w:t>
            </w:r>
          </w:p>
        </w:tc>
        <w:tc>
          <w:tcPr>
            <w:tcW w:w="116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Amortized</w:t>
            </w: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37"/>
        </w:trPr>
        <w:tc>
          <w:tcPr>
            <w:tcW w:w="5260" w:type="dxa"/>
            <w:vAlign w:val="bottom"/>
          </w:tcPr>
          <w:p>
            <w:pPr>
              <w:spacing w:after="0"/>
              <w:rPr>
                <w:sz w:val="20"/>
                <w:szCs w:val="20"/>
                <w:color w:val="auto"/>
              </w:rPr>
            </w:pPr>
          </w:p>
        </w:tc>
        <w:tc>
          <w:tcPr>
            <w:tcW w:w="1400" w:type="dxa"/>
            <w:vAlign w:val="bottom"/>
            <w:gridSpan w:val="2"/>
          </w:tcPr>
          <w:p>
            <w:pPr>
              <w:jc w:val="center"/>
              <w:ind w:right="200"/>
              <w:spacing w:after="0" w:line="236" w:lineRule="exact"/>
              <w:rPr>
                <w:sz w:val="20"/>
                <w:szCs w:val="20"/>
                <w:color w:val="auto"/>
              </w:rPr>
            </w:pPr>
            <w:r>
              <w:rPr>
                <w:rFonts w:ascii="Arial" w:cs="Arial" w:eastAsia="Arial" w:hAnsi="Arial"/>
                <w:sz w:val="17"/>
                <w:szCs w:val="17"/>
                <w:b w:val="1"/>
                <w:bCs w:val="1"/>
                <w:color w:val="auto"/>
                <w:w w:val="86"/>
              </w:rPr>
              <w:t xml:space="preserve">Cost </w:t>
            </w:r>
            <w:r>
              <w:rPr>
                <w:rFonts w:ascii="Arial" w:cs="Arial" w:eastAsia="Arial" w:hAnsi="Arial"/>
                <w:sz w:val="27"/>
                <w:szCs w:val="27"/>
                <w:b w:val="1"/>
                <w:bCs w:val="1"/>
                <w:color w:val="auto"/>
                <w:w w:val="86"/>
                <w:vertAlign w:val="superscript"/>
              </w:rPr>
              <w:t>(1)</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38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w:t>
            </w: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4,623</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84</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4,539</w:t>
            </w: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3,000</w:t>
            </w:r>
          </w:p>
        </w:tc>
        <w:tc>
          <w:tcPr>
            <w:tcW w:w="80" w:type="dxa"/>
            <w:vAlign w:val="bottom"/>
            <w:shd w:val="clear" w:color="auto" w:fill="CCEEFF"/>
          </w:tcPr>
          <w:p>
            <w:pPr>
              <w:spacing w:after="0"/>
              <w:rPr>
                <w:sz w:val="19"/>
                <w:szCs w:val="19"/>
                <w:color w:val="auto"/>
              </w:rPr>
            </w:pPr>
          </w:p>
        </w:tc>
      </w:tr>
      <w:tr>
        <w:trPr>
          <w:trHeight w:val="210"/>
        </w:trPr>
        <w:tc>
          <w:tcPr>
            <w:tcW w:w="526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7,623</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84</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7,539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r>
      <w:tr>
        <w:trPr>
          <w:trHeight w:val="210"/>
        </w:trPr>
        <w:tc>
          <w:tcPr>
            <w:tcW w:w="526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11,223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11,038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30,009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378</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30,387</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31,944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577</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31,367</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8,721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147</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8,868</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81,897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780</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81,660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89,520</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543</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864</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89,199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2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8"/>
              </w:rPr>
              <w:t>December 31, 2015</w:t>
            </w:r>
          </w:p>
        </w:tc>
        <w:tc>
          <w:tcPr>
            <w:tcW w:w="11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223"/>
        </w:trPr>
        <w:tc>
          <w:tcPr>
            <w:tcW w:w="526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Amortized</w:t>
            </w:r>
          </w:p>
        </w:tc>
        <w:tc>
          <w:tcPr>
            <w:tcW w:w="2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37"/>
        </w:trPr>
        <w:tc>
          <w:tcPr>
            <w:tcW w:w="5260" w:type="dxa"/>
            <w:vAlign w:val="bottom"/>
          </w:tcPr>
          <w:p>
            <w:pPr>
              <w:spacing w:after="0"/>
              <w:rPr>
                <w:sz w:val="20"/>
                <w:szCs w:val="20"/>
                <w:color w:val="auto"/>
              </w:rPr>
            </w:pPr>
          </w:p>
        </w:tc>
        <w:tc>
          <w:tcPr>
            <w:tcW w:w="1400" w:type="dxa"/>
            <w:vAlign w:val="bottom"/>
            <w:gridSpan w:val="2"/>
          </w:tcPr>
          <w:p>
            <w:pPr>
              <w:jc w:val="center"/>
              <w:ind w:right="200"/>
              <w:spacing w:after="0" w:line="236" w:lineRule="exact"/>
              <w:rPr>
                <w:sz w:val="20"/>
                <w:szCs w:val="20"/>
                <w:color w:val="auto"/>
              </w:rPr>
            </w:pPr>
            <w:r>
              <w:rPr>
                <w:rFonts w:ascii="Arial" w:cs="Arial" w:eastAsia="Arial" w:hAnsi="Arial"/>
                <w:sz w:val="17"/>
                <w:szCs w:val="17"/>
                <w:b w:val="1"/>
                <w:bCs w:val="1"/>
                <w:color w:val="auto"/>
                <w:w w:val="86"/>
              </w:rPr>
              <w:t xml:space="preserve">Cost </w:t>
            </w:r>
            <w:r>
              <w:rPr>
                <w:rFonts w:ascii="Arial" w:cs="Arial" w:eastAsia="Arial" w:hAnsi="Arial"/>
                <w:sz w:val="27"/>
                <w:szCs w:val="27"/>
                <w:b w:val="1"/>
                <w:bCs w:val="1"/>
                <w:color w:val="auto"/>
                <w:w w:val="86"/>
                <w:vertAlign w:val="superscript"/>
              </w:rPr>
              <w:t>(2)</w:t>
            </w:r>
          </w:p>
        </w:tc>
        <w:tc>
          <w:tcPr>
            <w:tcW w:w="142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38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Loss</w:t>
            </w:r>
          </w:p>
        </w:tc>
        <w:tc>
          <w:tcPr>
            <w:tcW w:w="1260" w:type="dxa"/>
            <w:vAlign w:val="bottom"/>
            <w:gridSpan w:val="3"/>
          </w:tcPr>
          <w:p>
            <w:pPr>
              <w:ind w:left="180"/>
              <w:spacing w:after="0"/>
              <w:rPr>
                <w:sz w:val="20"/>
                <w:szCs w:val="20"/>
                <w:color w:val="auto"/>
              </w:rPr>
            </w:pPr>
            <w:r>
              <w:rPr>
                <w:rFonts w:ascii="Arial" w:cs="Arial" w:eastAsia="Arial" w:hAnsi="Arial"/>
                <w:sz w:val="18"/>
                <w:szCs w:val="18"/>
                <w:b w:val="1"/>
                <w:bCs w:val="1"/>
                <w:color w:val="auto"/>
              </w:rPr>
              <w:t>Fair Value</w:t>
            </w:r>
          </w:p>
        </w:tc>
      </w:tr>
      <w:tr>
        <w:trPr>
          <w:trHeight w:val="210"/>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1,484</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383</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1,101</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5,000</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20,008</w:t>
            </w:r>
          </w:p>
        </w:tc>
        <w:tc>
          <w:tcPr>
            <w:tcW w:w="1200" w:type="dxa"/>
            <w:vAlign w:val="bottom"/>
          </w:tcPr>
          <w:p>
            <w:pPr>
              <w:jc w:val="right"/>
              <w:spacing w:after="0"/>
              <w:rPr>
                <w:sz w:val="20"/>
                <w:szCs w:val="20"/>
                <w:color w:val="auto"/>
              </w:rPr>
            </w:pPr>
            <w:r>
              <w:rPr>
                <w:rFonts w:ascii="Arial" w:cs="Arial" w:eastAsia="Arial" w:hAnsi="Arial"/>
                <w:sz w:val="18"/>
                <w:szCs w:val="18"/>
                <w:color w:val="auto"/>
              </w:rPr>
              <w:t>45</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20,053</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26,492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383</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26,154</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5260" w:type="dxa"/>
            <w:vAlign w:val="bottom"/>
          </w:tcPr>
          <w:p>
            <w:pPr>
              <w:ind w:left="20"/>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21,903</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3,260</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18,643</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30,599</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1,530</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29,069</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20,871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1,684</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19,187</w:t>
            </w:r>
          </w:p>
        </w:tc>
        <w:tc>
          <w:tcPr>
            <w:tcW w:w="80" w:type="dxa"/>
            <w:vAlign w:val="bottom"/>
            <w:shd w:val="clear" w:color="auto" w:fill="CCEEFF"/>
          </w:tcPr>
          <w:p>
            <w:pPr>
              <w:spacing w:after="0"/>
              <w:rPr>
                <w:sz w:val="18"/>
                <w:szCs w:val="18"/>
                <w:color w:val="auto"/>
              </w:rPr>
            </w:pPr>
          </w:p>
        </w:tc>
      </w:tr>
      <w:tr>
        <w:trPr>
          <w:trHeight w:val="230"/>
        </w:trPr>
        <w:tc>
          <w:tcPr>
            <w:tcW w:w="52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8,876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8,880</w:t>
            </w:r>
          </w:p>
        </w:tc>
        <w:tc>
          <w:tcPr>
            <w:tcW w:w="80" w:type="dxa"/>
            <w:vAlign w:val="bottom"/>
          </w:tcPr>
          <w:p>
            <w:pPr>
              <w:spacing w:after="0"/>
              <w:rPr>
                <w:sz w:val="19"/>
                <w:szCs w:val="19"/>
                <w:color w:val="auto"/>
              </w:rPr>
            </w:pPr>
          </w:p>
        </w:tc>
      </w:tr>
      <w:tr>
        <w:trPr>
          <w:trHeight w:val="210"/>
        </w:trPr>
        <w:tc>
          <w:tcPr>
            <w:tcW w:w="526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82,249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6,474</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75,779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3"/>
        </w:trPr>
        <w:tc>
          <w:tcPr>
            <w:tcW w:w="52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108,741</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6,857</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101,933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Amounts do not include allowance for expected credit losses of US$654.</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3"/>
        </w:numPr>
        <w:rPr>
          <w:rFonts w:ascii="Arial" w:cs="Arial" w:eastAsia="Arial" w:hAnsi="Arial"/>
          <w:sz w:val="24"/>
          <w:szCs w:val="24"/>
          <w:color w:val="auto"/>
          <w:vertAlign w:val="superscript"/>
        </w:rPr>
      </w:pPr>
      <w:r>
        <w:rPr>
          <w:rFonts w:ascii="Arial" w:cs="Arial" w:eastAsia="Arial" w:hAnsi="Arial"/>
          <w:sz w:val="15"/>
          <w:szCs w:val="15"/>
          <w:color w:val="auto"/>
        </w:rPr>
        <w:t>Amounts do not include allowance for expected credit losses of US$526.</w:t>
      </w:r>
    </w:p>
    <w:p>
      <w:pPr>
        <w:spacing w:after="0" w:line="200" w:lineRule="exact"/>
        <w:rPr>
          <w:sz w:val="20"/>
          <w:szCs w:val="20"/>
          <w:color w:val="auto"/>
        </w:rPr>
      </w:pPr>
    </w:p>
    <w:p>
      <w:pPr>
        <w:spacing w:after="0" w:line="218" w:lineRule="exact"/>
        <w:rPr>
          <w:sz w:val="20"/>
          <w:szCs w:val="20"/>
          <w:color w:val="auto"/>
        </w:rPr>
      </w:pPr>
    </w:p>
    <w:p>
      <w:pPr>
        <w:jc w:val="center"/>
        <w:ind w:right="-259"/>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904" w:right="439" w:bottom="1440" w:gutter="0" w:footer="0" w:header="0"/>
        </w:sectPr>
      </w:pPr>
    </w:p>
    <w:bookmarkStart w:id="19" w:name="page20"/>
    <w:bookmarkEnd w:id="1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amortized cost and fair value of securities at amortized cost by contractual maturity as of September 30, 2016 and December 31, 2015, gross of reserve for expected credit losses, are shown in the following tables:</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7600" w:type="dxa"/>
            <w:vAlign w:val="bottom"/>
          </w:tcPr>
          <w:p>
            <w:pPr>
              <w:spacing w:after="0"/>
              <w:rPr>
                <w:sz w:val="20"/>
                <w:szCs w:val="20"/>
                <w:color w:val="auto"/>
              </w:rPr>
            </w:pPr>
          </w:p>
        </w:tc>
        <w:tc>
          <w:tcPr>
            <w:tcW w:w="310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9"/>
              </w:rPr>
              <w:t>September 30, 2016</w:t>
            </w: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7600" w:type="dxa"/>
            <w:vAlign w:val="bottom"/>
          </w:tcPr>
          <w:p>
            <w:pPr>
              <w:spacing w:after="0"/>
              <w:rPr>
                <w:sz w:val="16"/>
                <w:szCs w:val="16"/>
                <w:color w:val="auto"/>
              </w:rPr>
            </w:pPr>
          </w:p>
        </w:tc>
        <w:tc>
          <w:tcPr>
            <w:tcW w:w="16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3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rPr>
              <w:t>Fair</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600" w:type="dxa"/>
            <w:vAlign w:val="bottom"/>
          </w:tcPr>
          <w:p>
            <w:pPr>
              <w:spacing w:after="0"/>
              <w:rPr>
                <w:sz w:val="20"/>
                <w:szCs w:val="20"/>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Cost</w:t>
            </w:r>
          </w:p>
        </w:tc>
        <w:tc>
          <w:tcPr>
            <w:tcW w:w="14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Value</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60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4,009</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4,027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60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80,206</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79,903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5,305</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5,269</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6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89,520</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89,199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6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7600" w:type="dxa"/>
            <w:vAlign w:val="bottom"/>
          </w:tcPr>
          <w:p>
            <w:pPr>
              <w:spacing w:after="0"/>
              <w:rPr>
                <w:sz w:val="24"/>
                <w:szCs w:val="24"/>
                <w:color w:val="auto"/>
              </w:rPr>
            </w:pPr>
          </w:p>
        </w:tc>
        <w:tc>
          <w:tcPr>
            <w:tcW w:w="310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90"/>
              </w:rPr>
              <w:t>December 31, 2015</w:t>
            </w: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7600" w:type="dxa"/>
            <w:vAlign w:val="bottom"/>
          </w:tcPr>
          <w:p>
            <w:pPr>
              <w:spacing w:after="0"/>
              <w:rPr>
                <w:sz w:val="16"/>
                <w:szCs w:val="16"/>
                <w:color w:val="auto"/>
              </w:rPr>
            </w:pPr>
          </w:p>
        </w:tc>
        <w:tc>
          <w:tcPr>
            <w:tcW w:w="162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3"/>
              </w:rPr>
              <w:t>Amortized</w:t>
            </w:r>
          </w:p>
        </w:tc>
        <w:tc>
          <w:tcPr>
            <w:tcW w:w="13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rPr>
              <w:t>Fair</w:t>
            </w:r>
          </w:p>
        </w:tc>
        <w:tc>
          <w:tcPr>
            <w:tcW w:w="100" w:type="dxa"/>
            <w:vAlign w:val="bottom"/>
            <w:gridSpan w:val="2"/>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600" w:type="dxa"/>
            <w:vAlign w:val="bottom"/>
          </w:tcPr>
          <w:p>
            <w:pPr>
              <w:spacing w:after="0"/>
              <w:rPr>
                <w:sz w:val="20"/>
                <w:szCs w:val="20"/>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Cost</w:t>
            </w:r>
          </w:p>
        </w:tc>
        <w:tc>
          <w:tcPr>
            <w:tcW w:w="14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Value</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60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28,454</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28,474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60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43,236</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39,206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60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37,051</w:t>
            </w:r>
          </w:p>
        </w:tc>
        <w:tc>
          <w:tcPr>
            <w:tcW w:w="14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34,253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6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108,741</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101,933</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6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securities at amortized cost with a carrying value of $79.3 million and $56.3 million, respectively, were pledged to secure repurchase transactions accounted for as secured financings.</w:t>
      </w:r>
    </w:p>
    <w:p>
      <w:pPr>
        <w:spacing w:after="0" w:line="170"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7240" w:type="dxa"/>
            <w:vAlign w:val="bottom"/>
            <w:gridSpan w:val="2"/>
          </w:tcPr>
          <w:p>
            <w:pPr>
              <w:spacing w:after="0"/>
              <w:rPr>
                <w:sz w:val="20"/>
                <w:szCs w:val="20"/>
                <w:color w:val="auto"/>
              </w:rPr>
            </w:pPr>
            <w:r>
              <w:rPr>
                <w:rFonts w:ascii="Arial" w:cs="Arial" w:eastAsia="Arial" w:hAnsi="Arial"/>
                <w:sz w:val="18"/>
                <w:szCs w:val="18"/>
                <w:color w:val="auto"/>
              </w:rPr>
              <w:t>Securities at amortized cost classified by issuer’s credit quality indicators are as follows:</w:t>
            </w:r>
          </w:p>
        </w:tc>
        <w:tc>
          <w:tcPr>
            <w:tcW w:w="1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300" w:type="dxa"/>
            <w:vAlign w:val="bottom"/>
          </w:tcPr>
          <w:p>
            <w:pPr>
              <w:spacing w:after="0"/>
              <w:rPr>
                <w:sz w:val="24"/>
                <w:szCs w:val="24"/>
                <w:color w:val="auto"/>
              </w:rPr>
            </w:pPr>
          </w:p>
        </w:tc>
        <w:tc>
          <w:tcPr>
            <w:tcW w:w="594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86"/>
              </w:rPr>
              <w:t>Rating</w:t>
            </w:r>
            <w:r>
              <w:rPr>
                <w:rFonts w:ascii="Arial" w:cs="Arial" w:eastAsia="Arial" w:hAnsi="Arial"/>
                <w:sz w:val="30"/>
                <w:szCs w:val="30"/>
                <w:b w:val="1"/>
                <w:bCs w:val="1"/>
                <w:color w:val="auto"/>
                <w:w w:val="86"/>
                <w:vertAlign w:val="superscript"/>
              </w:rPr>
              <w:t>(1)</w:t>
            </w:r>
          </w:p>
        </w:tc>
        <w:tc>
          <w:tcPr>
            <w:tcW w:w="16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September 30,</w:t>
            </w:r>
          </w:p>
        </w:tc>
        <w:tc>
          <w:tcPr>
            <w:tcW w:w="154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1300" w:type="dxa"/>
            <w:vAlign w:val="bottom"/>
          </w:tcPr>
          <w:p>
            <w:pPr>
              <w:spacing w:after="0"/>
              <w:rPr>
                <w:sz w:val="20"/>
                <w:szCs w:val="20"/>
                <w:color w:val="auto"/>
              </w:rPr>
            </w:pPr>
          </w:p>
        </w:tc>
        <w:tc>
          <w:tcPr>
            <w:tcW w:w="5940" w:type="dxa"/>
            <w:vAlign w:val="bottom"/>
            <w:tcBorders>
              <w:bottom w:val="single" w:sz="8" w:color="CCEEFF"/>
            </w:tcBorders>
            <w:vMerge w:val="continue"/>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2016</w:t>
            </w:r>
          </w:p>
        </w:tc>
        <w:tc>
          <w:tcPr>
            <w:tcW w:w="18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88,037</w:t>
            </w:r>
          </w:p>
        </w:tc>
        <w:tc>
          <w:tcPr>
            <w:tcW w:w="18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94,257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1,483</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14,484</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59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6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1300" w:type="dxa"/>
            <w:vAlign w:val="bottom"/>
          </w:tcPr>
          <w:p>
            <w:pPr>
              <w:spacing w:after="0"/>
              <w:rPr>
                <w:sz w:val="19"/>
                <w:szCs w:val="19"/>
                <w:color w:val="auto"/>
              </w:rPr>
            </w:pPr>
          </w:p>
        </w:tc>
        <w:tc>
          <w:tcPr>
            <w:tcW w:w="59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23"/>
        </w:trPr>
        <w:tc>
          <w:tcPr>
            <w:tcW w:w="1300" w:type="dxa"/>
            <w:vAlign w:val="bottom"/>
          </w:tcPr>
          <w:p>
            <w:pPr>
              <w:spacing w:after="0"/>
              <w:rPr>
                <w:sz w:val="19"/>
                <w:szCs w:val="19"/>
                <w:color w:val="auto"/>
              </w:rPr>
            </w:pPr>
          </w:p>
        </w:tc>
        <w:tc>
          <w:tcPr>
            <w:tcW w:w="5940" w:type="dxa"/>
            <w:vAlign w:val="bottom"/>
            <w:tcBorders>
              <w:top w:val="single" w:sz="8" w:color="CCEEFF"/>
              <w:bottom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94"/>
              </w:rPr>
              <w:t>Total</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89,520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108,741</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59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60" w:right="3620" w:hanging="3856"/>
        <w:spacing w:after="0" w:line="618" w:lineRule="auto"/>
        <w:tabs>
          <w:tab w:leader="none" w:pos="2095" w:val="left"/>
        </w:tabs>
        <w:numPr>
          <w:ilvl w:val="0"/>
          <w:numId w:val="15"/>
        </w:numPr>
        <w:rPr>
          <w:rFonts w:ascii="Arial" w:cs="Arial" w:eastAsia="Arial" w:hAnsi="Arial"/>
          <w:sz w:val="30"/>
          <w:szCs w:val="30"/>
          <w:b w:val="1"/>
          <w:bCs w:val="1"/>
          <w:color w:val="auto"/>
          <w:vertAlign w:val="superscript"/>
        </w:rPr>
      </w:pPr>
      <w:r>
        <w:rPr>
          <w:rFonts w:ascii="Arial" w:cs="Arial" w:eastAsia="Arial" w:hAnsi="Arial"/>
          <w:sz w:val="18"/>
          <w:szCs w:val="18"/>
          <w:color w:val="auto"/>
        </w:rPr>
        <w:t>Current ratings as of September 30, 2016 and December 31, 2015, respectively. 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0" w:name="page21"/>
    <w:bookmarkEnd w:id="20"/>
    <w:p>
      <w:pPr>
        <w:ind w:right="54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4.4   Securities at amortized cost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allowance for expected credit losses relating to securities at amortized cost is as follow:</w:t>
      </w:r>
    </w:p>
    <w:p>
      <w:pPr>
        <w:spacing w:after="0" w:line="133"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49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9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18"/>
                <w:szCs w:val="18"/>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(collectively</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16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160" w:type="dxa"/>
            <w:vAlign w:val="bottom"/>
            <w:gridSpan w:val="2"/>
            <w:vMerge w:val="continue"/>
          </w:tcPr>
          <w:p>
            <w:pPr>
              <w:spacing w:after="0"/>
              <w:rPr>
                <w:sz w:val="20"/>
                <w:szCs w:val="20"/>
                <w:color w:val="auto"/>
              </w:rPr>
            </w:pPr>
          </w:p>
        </w:tc>
        <w:tc>
          <w:tcPr>
            <w:tcW w:w="104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(43)</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444</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401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(302)</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(28)</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(330)</w:t>
            </w:r>
          </w:p>
        </w:tc>
        <w:tc>
          <w:tcPr>
            <w:tcW w:w="0" w:type="dxa"/>
            <w:vAlign w:val="bottom"/>
          </w:tcPr>
          <w:p>
            <w:pPr>
              <w:spacing w:after="0"/>
              <w:rPr>
                <w:sz w:val="1"/>
                <w:szCs w:val="1"/>
                <w:color w:val="auto"/>
              </w:rPr>
            </w:pPr>
          </w:p>
        </w:tc>
      </w:tr>
      <w:tr>
        <w:trPr>
          <w:trHeight w:val="182"/>
        </w:trPr>
        <w:tc>
          <w:tcPr>
            <w:tcW w:w="49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9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00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6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940" w:type="dxa"/>
            <w:vAlign w:val="bottom"/>
            <w:tcBorders>
              <w:top w:val="single" w:sz="8" w:color="auto"/>
            </w:tcBorders>
            <w:shd w:val="clear" w:color="auto" w:fill="CCEEFF"/>
          </w:tcPr>
          <w:p>
            <w:pPr>
              <w:spacing w:after="0"/>
              <w:rPr>
                <w:sz w:val="15"/>
                <w:szCs w:val="15"/>
                <w:color w:val="auto"/>
              </w:rPr>
            </w:pPr>
          </w:p>
        </w:tc>
        <w:tc>
          <w:tcPr>
            <w:tcW w:w="20" w:type="dxa"/>
            <w:vAlign w:val="bottom"/>
            <w:tcBorders>
              <w:top w:val="single" w:sz="8" w:color="CCEEFF"/>
            </w:tcBorders>
            <w:shd w:val="clear" w:color="auto" w:fill="CCEEFF"/>
          </w:tcPr>
          <w:p>
            <w:pPr>
              <w:spacing w:after="0"/>
              <w:rPr>
                <w:sz w:val="15"/>
                <w:szCs w:val="15"/>
                <w:color w:val="auto"/>
              </w:rPr>
            </w:pPr>
          </w:p>
        </w:tc>
        <w:tc>
          <w:tcPr>
            <w:tcW w:w="8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ind w:left="60"/>
              <w:spacing w:after="0"/>
              <w:rPr>
                <w:sz w:val="20"/>
                <w:szCs w:val="20"/>
                <w:color w:val="auto"/>
              </w:rPr>
            </w:pPr>
            <w:r>
              <w:rPr>
                <w:rFonts w:ascii="Arial" w:cs="Arial" w:eastAsia="Arial" w:hAnsi="Arial"/>
                <w:sz w:val="18"/>
                <w:szCs w:val="18"/>
                <w:color w:val="auto"/>
              </w:rPr>
              <w:t>31, 2015:</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350</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494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116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116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as of September 30, 2016</w:t>
            </w: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528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654</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49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9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18"/>
                <w:szCs w:val="18"/>
                <w:color w:val="auto"/>
              </w:rPr>
            </w:pPr>
          </w:p>
        </w:tc>
        <w:tc>
          <w:tcPr>
            <w:tcW w:w="1180" w:type="dxa"/>
            <w:vAlign w:val="bottom"/>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1"/>
              </w:rPr>
              <w:t xml:space="preserve">Stage 1 </w:t>
            </w:r>
            <w:r>
              <w:rPr>
                <w:rFonts w:ascii="Arial" w:cs="Arial" w:eastAsia="Arial" w:hAnsi="Arial"/>
                <w:sz w:val="30"/>
                <w:szCs w:val="30"/>
                <w:b w:val="1"/>
                <w:bCs w:val="1"/>
                <w:color w:val="auto"/>
                <w:w w:val="91"/>
                <w:vertAlign w:val="superscript"/>
              </w:rPr>
              <w:t>(1)</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(collectively</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(individually</w:t>
            </w:r>
          </w:p>
        </w:tc>
        <w:tc>
          <w:tcPr>
            <w:tcW w:w="1160" w:type="dxa"/>
            <w:vAlign w:val="bottom"/>
            <w:gridSpan w:val="2"/>
            <w:vMerge w:val="restart"/>
          </w:tcPr>
          <w:p>
            <w:pPr>
              <w:ind w:left="1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9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4940" w:type="dxa"/>
            <w:vAlign w:val="bottom"/>
          </w:tcPr>
          <w:p>
            <w:pPr>
              <w:spacing w:after="0"/>
              <w:rPr>
                <w:sz w:val="20"/>
                <w:szCs w:val="20"/>
                <w:color w:val="auto"/>
              </w:rPr>
            </w:pPr>
          </w:p>
        </w:tc>
        <w:tc>
          <w:tcPr>
            <w:tcW w:w="1180" w:type="dxa"/>
            <w:vAlign w:val="bottom"/>
            <w:gridSpan w:val="2"/>
            <w:vMerge w:val="continue"/>
          </w:tcPr>
          <w:p>
            <w:pPr>
              <w:spacing w:after="0"/>
              <w:rPr>
                <w:sz w:val="20"/>
                <w:szCs w:val="20"/>
                <w:color w:val="auto"/>
              </w:rPr>
            </w:pP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assessed)</w:t>
            </w:r>
          </w:p>
        </w:tc>
        <w:tc>
          <w:tcPr>
            <w:tcW w:w="1160" w:type="dxa"/>
            <w:vAlign w:val="bottom"/>
            <w:gridSpan w:val="2"/>
            <w:vMerge w:val="continue"/>
          </w:tcPr>
          <w:p>
            <w:pPr>
              <w:spacing w:after="0"/>
              <w:rPr>
                <w:sz w:val="20"/>
                <w:szCs w:val="20"/>
                <w:color w:val="auto"/>
              </w:rPr>
            </w:pPr>
          </w:p>
        </w:tc>
        <w:tc>
          <w:tcPr>
            <w:tcW w:w="104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49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2014</w:t>
            </w: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w:t>
            </w: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(178)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178</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94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w w:val="97"/>
              </w:rPr>
              <w:t>Financial assets that have been derecognized during the period</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0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182"/>
        </w:trPr>
        <w:tc>
          <w:tcPr>
            <w:tcW w:w="4940" w:type="dxa"/>
            <w:vAlign w:val="bottom"/>
          </w:tcPr>
          <w:p>
            <w:pPr>
              <w:spacing w:after="0" w:line="182" w:lineRule="exact"/>
              <w:rPr>
                <w:sz w:val="20"/>
                <w:szCs w:val="20"/>
                <w:color w:val="auto"/>
              </w:rPr>
            </w:pPr>
            <w:r>
              <w:rPr>
                <w:rFonts w:ascii="Arial" w:cs="Arial" w:eastAsia="Arial" w:hAnsi="Arial"/>
                <w:sz w:val="18"/>
                <w:szCs w:val="18"/>
                <w:color w:val="auto"/>
                <w:w w:val="94"/>
              </w:rPr>
              <w:t>Changes due to financial instruments recognized as of December</w:t>
            </w:r>
          </w:p>
        </w:tc>
        <w:tc>
          <w:tcPr>
            <w:tcW w:w="9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9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0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94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4940" w:type="dxa"/>
            <w:vAlign w:val="bottom"/>
          </w:tcPr>
          <w:p>
            <w:pPr>
              <w:ind w:left="60"/>
              <w:spacing w:after="0"/>
              <w:rPr>
                <w:sz w:val="20"/>
                <w:szCs w:val="20"/>
                <w:color w:val="auto"/>
              </w:rPr>
            </w:pPr>
            <w:r>
              <w:rPr>
                <w:rFonts w:ascii="Arial" w:cs="Arial" w:eastAsia="Arial" w:hAnsi="Arial"/>
                <w:sz w:val="18"/>
                <w:szCs w:val="18"/>
                <w:color w:val="auto"/>
              </w:rPr>
              <w:t>31, 2014:</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(385)</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178</w:t>
            </w:r>
          </w:p>
        </w:tc>
        <w:tc>
          <w:tcPr>
            <w:tcW w:w="10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040" w:type="dxa"/>
            <w:vAlign w:val="bottom"/>
            <w:gridSpan w:val="3"/>
          </w:tcPr>
          <w:p>
            <w:pPr>
              <w:jc w:val="right"/>
              <w:ind w:right="40"/>
              <w:spacing w:after="0"/>
              <w:rPr>
                <w:sz w:val="20"/>
                <w:szCs w:val="20"/>
                <w:color w:val="auto"/>
              </w:rPr>
            </w:pPr>
            <w:r>
              <w:rPr>
                <w:rFonts w:ascii="Arial" w:cs="Arial" w:eastAsia="Arial" w:hAnsi="Arial"/>
                <w:sz w:val="18"/>
                <w:szCs w:val="18"/>
                <w:color w:val="auto"/>
              </w:rPr>
              <w:t>(207)</w:t>
            </w:r>
          </w:p>
        </w:tc>
        <w:tc>
          <w:tcPr>
            <w:tcW w:w="0" w:type="dxa"/>
            <w:vAlign w:val="bottom"/>
          </w:tcPr>
          <w:p>
            <w:pPr>
              <w:spacing w:after="0"/>
              <w:rPr>
                <w:sz w:val="1"/>
                <w:szCs w:val="1"/>
                <w:color w:val="auto"/>
              </w:rPr>
            </w:pPr>
          </w:p>
        </w:tc>
      </w:tr>
      <w:tr>
        <w:trPr>
          <w:trHeight w:val="230"/>
        </w:trPr>
        <w:tc>
          <w:tcPr>
            <w:tcW w:w="494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457</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940" w:type="dxa"/>
            <w:vAlign w:val="bottom"/>
          </w:tcPr>
          <w:p>
            <w:pPr>
              <w:spacing w:after="0"/>
              <w:rPr>
                <w:sz w:val="20"/>
                <w:szCs w:val="20"/>
                <w:color w:val="auto"/>
              </w:rPr>
            </w:pPr>
            <w:r>
              <w:rPr>
                <w:rFonts w:ascii="Arial" w:cs="Arial" w:eastAsia="Arial" w:hAnsi="Arial"/>
                <w:sz w:val="18"/>
                <w:szCs w:val="18"/>
                <w:b w:val="1"/>
                <w:bCs w:val="1"/>
                <w:color w:val="auto"/>
                <w:w w:val="92"/>
              </w:rPr>
              <w:t>Allowance for expected credit losses as of December 31, 2015</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348</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178</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94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1060" w:hanging="323"/>
        <w:spacing w:after="0"/>
        <w:tabs>
          <w:tab w:leader="none" w:pos="1060" w:val="left"/>
        </w:tabs>
        <w:numPr>
          <w:ilvl w:val="0"/>
          <w:numId w:val="17"/>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17"/>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17"/>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45" w:lineRule="exact"/>
        <w:rPr>
          <w:sz w:val="20"/>
          <w:szCs w:val="20"/>
          <w:color w:val="auto"/>
        </w:rPr>
      </w:pPr>
    </w:p>
    <w:p>
      <w:pPr>
        <w:jc w:val="center"/>
        <w:ind w:right="-259"/>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20"/>
          </w:cols>
          <w:pgMar w:left="240" w:top="904" w:right="439" w:bottom="1440" w:gutter="0" w:footer="0" w:header="0"/>
        </w:sectPr>
      </w:pPr>
    </w:p>
    <w:bookmarkStart w:id="21" w:name="page22"/>
    <w:bookmarkEnd w:id="2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4.5   Recognition and derecognition of financial assets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During the period ended September 30, 2016 and 2015, the Bank sold certain financial instruments measured at amortized cost. These sales were made on the basis of compliance with the Bank's strategy to optimize the loan portfolio.</w:t>
      </w:r>
    </w:p>
    <w:p>
      <w:pPr>
        <w:spacing w:after="0" w:line="170"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amounts and gains arising from the derecognition of these financial instruments are presented in the following table. These gains are presented within the line “gain on sale of loans” in the consolidated statement of profit or loss.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Assignments and</w:t>
            </w: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2500" w:type="dxa"/>
            <w:vAlign w:val="bottom"/>
          </w:tcPr>
          <w:p>
            <w:pPr>
              <w:spacing w:after="0"/>
              <w:rPr>
                <w:sz w:val="20"/>
                <w:szCs w:val="20"/>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Participations</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Gains</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120" w:type="dxa"/>
            <w:vAlign w:val="bottom"/>
          </w:tcPr>
          <w:p>
            <w:pPr>
              <w:spacing w:after="0"/>
              <w:rPr>
                <w:sz w:val="18"/>
                <w:szCs w:val="18"/>
                <w:color w:val="auto"/>
              </w:rPr>
            </w:pPr>
          </w:p>
        </w:tc>
        <w:tc>
          <w:tcPr>
            <w:tcW w:w="2500" w:type="dxa"/>
            <w:vAlign w:val="bottom"/>
          </w:tcPr>
          <w:p>
            <w:pPr>
              <w:spacing w:after="0"/>
              <w:rPr>
                <w:sz w:val="18"/>
                <w:szCs w:val="18"/>
                <w:color w:val="auto"/>
              </w:rPr>
            </w:pPr>
          </w:p>
        </w:tc>
        <w:tc>
          <w:tcPr>
            <w:tcW w:w="14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ind w:left="20"/>
              <w:spacing w:after="0"/>
              <w:rPr>
                <w:sz w:val="20"/>
                <w:szCs w:val="20"/>
                <w:color w:val="auto"/>
              </w:rPr>
            </w:pPr>
            <w:r>
              <w:rPr>
                <w:rFonts w:ascii="Arial" w:cs="Arial" w:eastAsia="Arial" w:hAnsi="Arial"/>
                <w:sz w:val="18"/>
                <w:szCs w:val="18"/>
                <w:color w:val="auto"/>
              </w:rPr>
              <w:t>For the period ended September 30, 2016</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84,075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5120" w:type="dxa"/>
            <w:vAlign w:val="bottom"/>
          </w:tcPr>
          <w:p>
            <w:pPr>
              <w:ind w:left="20"/>
              <w:spacing w:after="0"/>
              <w:rPr>
                <w:sz w:val="20"/>
                <w:szCs w:val="20"/>
                <w:color w:val="auto"/>
              </w:rPr>
            </w:pPr>
            <w:r>
              <w:rPr>
                <w:rFonts w:ascii="Arial" w:cs="Arial" w:eastAsia="Arial" w:hAnsi="Arial"/>
                <w:sz w:val="18"/>
                <w:szCs w:val="18"/>
                <w:color w:val="auto"/>
              </w:rPr>
              <w:t>For the period ended September 30, 2015</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63,938</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336</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5620" w:type="dxa"/>
            <w:vAlign w:val="bottom"/>
            <w:gridSpan w:val="2"/>
          </w:tcPr>
          <w:p>
            <w:pPr>
              <w:ind w:left="500"/>
              <w:spacing w:after="0"/>
              <w:rPr>
                <w:sz w:val="20"/>
                <w:szCs w:val="20"/>
                <w:color w:val="auto"/>
              </w:rPr>
            </w:pPr>
            <w:r>
              <w:rPr>
                <w:rFonts w:ascii="Arial" w:cs="Arial" w:eastAsia="Arial" w:hAnsi="Arial"/>
                <w:sz w:val="18"/>
                <w:szCs w:val="18"/>
                <w:b w:val="1"/>
                <w:bCs w:val="1"/>
                <w:color w:val="auto"/>
              </w:rPr>
              <w:t>4.6   Loans – at amortized cost</w:t>
            </w:r>
          </w:p>
        </w:tc>
        <w:tc>
          <w:tcPr>
            <w:tcW w:w="25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5620" w:type="dxa"/>
            <w:vAlign w:val="bottom"/>
            <w:gridSpan w:val="2"/>
          </w:tcPr>
          <w:p>
            <w:pPr>
              <w:ind w:left="500"/>
              <w:spacing w:after="0"/>
              <w:rPr>
                <w:sz w:val="20"/>
                <w:szCs w:val="20"/>
                <w:color w:val="auto"/>
              </w:rPr>
            </w:pPr>
            <w:r>
              <w:rPr>
                <w:rFonts w:ascii="Arial" w:cs="Arial" w:eastAsia="Arial" w:hAnsi="Arial"/>
                <w:sz w:val="18"/>
                <w:szCs w:val="18"/>
                <w:color w:val="auto"/>
                <w:w w:val="93"/>
              </w:rPr>
              <w:t>The following table set forth details of the Bank’s gross loan portfolio:</w:t>
            </w:r>
          </w:p>
        </w:tc>
        <w:tc>
          <w:tcPr>
            <w:tcW w:w="25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512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4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3900" w:type="dxa"/>
            <w:vAlign w:val="bottom"/>
            <w:gridSpan w:val="2"/>
          </w:tcPr>
          <w:p>
            <w:pPr>
              <w:jc w:val="center"/>
              <w:ind w:left="241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20"/>
                <w:szCs w:val="20"/>
                <w:color w:val="auto"/>
              </w:rPr>
            </w:pP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5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Private</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2,895,070</w:t>
            </w:r>
          </w:p>
        </w:tc>
        <w:tc>
          <w:tcPr>
            <w:tcW w:w="1380" w:type="dxa"/>
            <w:vAlign w:val="bottom"/>
          </w:tcPr>
          <w:p>
            <w:pPr>
              <w:jc w:val="right"/>
              <w:spacing w:after="0"/>
              <w:rPr>
                <w:sz w:val="20"/>
                <w:szCs w:val="20"/>
                <w:color w:val="auto"/>
              </w:rPr>
            </w:pPr>
            <w:r>
              <w:rPr>
                <w:rFonts w:ascii="Arial" w:cs="Arial" w:eastAsia="Arial" w:hAnsi="Arial"/>
                <w:sz w:val="18"/>
                <w:szCs w:val="18"/>
                <w:color w:val="auto"/>
              </w:rPr>
              <w:t>3,254,792</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909,145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461,573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250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1,709,638</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1,974,960</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557,163</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612,677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50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120" w:type="dxa"/>
            <w:vAlign w:val="bottom"/>
          </w:tcPr>
          <w:p>
            <w:pPr>
              <w:ind w:left="160"/>
              <w:spacing w:after="0"/>
              <w:rPr>
                <w:sz w:val="20"/>
                <w:szCs w:val="20"/>
                <w:color w:val="auto"/>
              </w:rPr>
            </w:pPr>
            <w:r>
              <w:rPr>
                <w:rFonts w:ascii="Arial" w:cs="Arial" w:eastAsia="Arial" w:hAnsi="Arial"/>
                <w:sz w:val="18"/>
                <w:szCs w:val="18"/>
                <w:color w:val="auto"/>
              </w:rPr>
              <w:t>Private</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322,366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387,747</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1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2500" w:type="dxa"/>
            <w:vAlign w:val="bottom"/>
            <w:tcBorders>
              <w:top w:val="single" w:sz="8" w:color="CCEEFF"/>
              <w:bottom w:val="single" w:sz="8" w:color="CCEEFF"/>
            </w:tcBorders>
            <w:shd w:val="clear" w:color="auto" w:fill="CCEEFF"/>
          </w:tcPr>
          <w:p>
            <w:pPr>
              <w:spacing w:after="0"/>
              <w:rPr>
                <w:sz w:val="19"/>
                <w:szCs w:val="19"/>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6,393,382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620" w:type="dxa"/>
            <w:vAlign w:val="bottom"/>
            <w:gridSpan w:val="2"/>
            <w:vMerge w:val="restart"/>
          </w:tcPr>
          <w:p>
            <w:pPr>
              <w:ind w:left="500"/>
              <w:spacing w:after="0"/>
              <w:rPr>
                <w:sz w:val="20"/>
                <w:szCs w:val="20"/>
                <w:color w:val="auto"/>
              </w:rPr>
            </w:pPr>
            <w:r>
              <w:rPr>
                <w:rFonts w:ascii="Arial" w:cs="Arial" w:eastAsia="Arial" w:hAnsi="Arial"/>
                <w:sz w:val="18"/>
                <w:szCs w:val="18"/>
                <w:color w:val="auto"/>
                <w:w w:val="94"/>
              </w:rPr>
              <w:t>The composition of the gross loan portfolio by industry is as follows:</w:t>
            </w:r>
          </w:p>
        </w:tc>
        <w:tc>
          <w:tcPr>
            <w:tcW w:w="25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620" w:type="dxa"/>
            <w:vAlign w:val="bottom"/>
            <w:gridSpan w:val="2"/>
            <w:vMerge w:val="continue"/>
          </w:tcPr>
          <w:p>
            <w:pPr>
              <w:spacing w:after="0"/>
              <w:rPr>
                <w:sz w:val="24"/>
                <w:szCs w:val="24"/>
                <w:color w:val="auto"/>
              </w:rPr>
            </w:pPr>
          </w:p>
        </w:tc>
        <w:tc>
          <w:tcPr>
            <w:tcW w:w="2500" w:type="dxa"/>
            <w:vAlign w:val="bottom"/>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5120" w:type="dxa"/>
            <w:vAlign w:val="bottom"/>
          </w:tcPr>
          <w:p>
            <w:pPr>
              <w:spacing w:after="0"/>
              <w:rPr>
                <w:sz w:val="24"/>
                <w:szCs w:val="24"/>
                <w:color w:val="auto"/>
              </w:rPr>
            </w:pPr>
          </w:p>
        </w:tc>
        <w:tc>
          <w:tcPr>
            <w:tcW w:w="2500" w:type="dxa"/>
            <w:vAlign w:val="bottom"/>
          </w:tcPr>
          <w:p>
            <w:pPr>
              <w:spacing w:after="0"/>
              <w:rPr>
                <w:sz w:val="24"/>
                <w:szCs w:val="2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4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5120" w:type="dxa"/>
            <w:vAlign w:val="bottom"/>
          </w:tcPr>
          <w:p>
            <w:pPr>
              <w:spacing w:after="0"/>
              <w:rPr>
                <w:sz w:val="20"/>
                <w:szCs w:val="20"/>
                <w:color w:val="auto"/>
              </w:rPr>
            </w:pPr>
          </w:p>
        </w:tc>
        <w:tc>
          <w:tcPr>
            <w:tcW w:w="3900" w:type="dxa"/>
            <w:vAlign w:val="bottom"/>
            <w:gridSpan w:val="2"/>
          </w:tcPr>
          <w:p>
            <w:pPr>
              <w:jc w:val="center"/>
              <w:ind w:left="2410"/>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20"/>
                <w:szCs w:val="20"/>
                <w:color w:val="auto"/>
              </w:rPr>
            </w:pPr>
          </w:p>
        </w:tc>
        <w:tc>
          <w:tcPr>
            <w:tcW w:w="138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5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250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2,266,801</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2,587,637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Industrial</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1,163,907</w:t>
            </w:r>
          </w:p>
        </w:tc>
        <w:tc>
          <w:tcPr>
            <w:tcW w:w="1380" w:type="dxa"/>
            <w:vAlign w:val="bottom"/>
          </w:tcPr>
          <w:p>
            <w:pPr>
              <w:jc w:val="right"/>
              <w:spacing w:after="0"/>
              <w:rPr>
                <w:sz w:val="20"/>
                <w:szCs w:val="20"/>
                <w:color w:val="auto"/>
              </w:rPr>
            </w:pPr>
            <w:r>
              <w:rPr>
                <w:rFonts w:ascii="Arial" w:cs="Arial" w:eastAsia="Arial" w:hAnsi="Arial"/>
                <w:sz w:val="18"/>
                <w:szCs w:val="18"/>
                <w:color w:val="auto"/>
              </w:rPr>
              <w:t>1,142,385</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1,124,504</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828,355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Agriculture</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1,034,418</w:t>
            </w:r>
          </w:p>
        </w:tc>
        <w:tc>
          <w:tcPr>
            <w:tcW w:w="1380" w:type="dxa"/>
            <w:vAlign w:val="bottom"/>
          </w:tcPr>
          <w:p>
            <w:pPr>
              <w:jc w:val="right"/>
              <w:spacing w:after="0"/>
              <w:rPr>
                <w:sz w:val="20"/>
                <w:szCs w:val="20"/>
                <w:color w:val="auto"/>
              </w:rPr>
            </w:pPr>
            <w:r>
              <w:rPr>
                <w:rFonts w:ascii="Arial" w:cs="Arial" w:eastAsia="Arial" w:hAnsi="Arial"/>
                <w:sz w:val="18"/>
                <w:szCs w:val="18"/>
                <w:color w:val="auto"/>
              </w:rPr>
              <w:t>1,140,124</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502,960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670,013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Mining</w:t>
            </w:r>
          </w:p>
        </w:tc>
        <w:tc>
          <w:tcPr>
            <w:tcW w:w="4120" w:type="dxa"/>
            <w:vAlign w:val="bottom"/>
            <w:gridSpan w:val="3"/>
          </w:tcPr>
          <w:p>
            <w:pPr>
              <w:jc w:val="right"/>
              <w:ind w:right="220"/>
              <w:spacing w:after="0"/>
              <w:rPr>
                <w:sz w:val="20"/>
                <w:szCs w:val="20"/>
                <w:color w:val="auto"/>
              </w:rPr>
            </w:pPr>
            <w:r>
              <w:rPr>
                <w:rFonts w:ascii="Arial" w:cs="Arial" w:eastAsia="Arial" w:hAnsi="Arial"/>
                <w:sz w:val="18"/>
                <w:szCs w:val="18"/>
                <w:color w:val="auto"/>
              </w:rPr>
              <w:t>60,000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110,655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12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41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240,792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212,580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120" w:type="dxa"/>
            <w:vAlign w:val="bottom"/>
          </w:tcPr>
          <w:p>
            <w:pPr>
              <w:spacing w:after="0"/>
              <w:rPr>
                <w:sz w:val="20"/>
                <w:szCs w:val="20"/>
                <w:color w:val="auto"/>
              </w:rPr>
            </w:pPr>
            <w:r>
              <w:rPr>
                <w:rFonts w:ascii="Arial" w:cs="Arial" w:eastAsia="Arial" w:hAnsi="Arial"/>
                <w:sz w:val="18"/>
                <w:szCs w:val="18"/>
                <w:color w:val="auto"/>
              </w:rPr>
              <w:t>Total</w:t>
            </w:r>
          </w:p>
        </w:tc>
        <w:tc>
          <w:tcPr>
            <w:tcW w:w="250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6,393,382</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5120" w:type="dxa"/>
            <w:vAlign w:val="bottom"/>
          </w:tcPr>
          <w:p>
            <w:pPr>
              <w:spacing w:after="0" w:line="20" w:lineRule="exact"/>
              <w:rPr>
                <w:sz w:val="1"/>
                <w:szCs w:val="1"/>
                <w:color w:val="auto"/>
              </w:rPr>
            </w:pPr>
          </w:p>
        </w:tc>
        <w:tc>
          <w:tcPr>
            <w:tcW w:w="2500" w:type="dxa"/>
            <w:vAlign w:val="bottom"/>
            <w:vMerge w:val="restart"/>
          </w:tcPr>
          <w:p>
            <w:pPr>
              <w:jc w:val="right"/>
              <w:ind w:right="2190"/>
              <w:spacing w:after="0"/>
              <w:rPr>
                <w:sz w:val="20"/>
                <w:szCs w:val="20"/>
                <w:color w:val="auto"/>
              </w:rPr>
            </w:pPr>
            <w:r>
              <w:rPr>
                <w:rFonts w:ascii="Arial" w:cs="Arial" w:eastAsia="Arial" w:hAnsi="Arial"/>
                <w:sz w:val="18"/>
                <w:szCs w:val="18"/>
                <w:color w:val="auto"/>
                <w:w w:val="99"/>
              </w:rPr>
              <w:t>20</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500" w:type="dxa"/>
            <w:vAlign w:val="bottom"/>
            <w:tcBorders>
              <w:bottom w:val="single" w:sz="8" w:color="auto"/>
            </w:tcBorders>
          </w:tcPr>
          <w:p>
            <w:pPr>
              <w:spacing w:after="0"/>
              <w:rPr>
                <w:sz w:val="24"/>
                <w:szCs w:val="24"/>
                <w:color w:val="auto"/>
              </w:rPr>
            </w:pPr>
          </w:p>
        </w:tc>
        <w:tc>
          <w:tcPr>
            <w:tcW w:w="512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2" w:name="page23"/>
    <w:bookmarkEnd w:id="2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Loans are reported at their amortized cost considering the principal outstanding amounts net of unearned interest, deferred fees and allowance for expected credit losses.</w:t>
      </w:r>
    </w:p>
    <w:p>
      <w:pPr>
        <w:spacing w:after="0" w:line="170"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amortization of net unearned interest and deferred fees are recognized as an adjustment to the related loan yield using the effective interest rate method.</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The unearned discount interest and deferred commission amounted to $8,695 and $9,304 at September 30, 2016 and December 31, 2015, respectively</w:t>
      </w:r>
    </w:p>
    <w:p>
      <w:pPr>
        <w:spacing w:after="0" w:line="248"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Loans classified by borrower’s credit quality indicators are as follows:</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September 30, 2016</w:t>
      </w:r>
    </w:p>
    <w:p>
      <w:pPr>
        <w:spacing w:after="0" w:line="27" w:lineRule="exact"/>
        <w:rPr>
          <w:sz w:val="20"/>
          <w:szCs w:val="20"/>
          <w:color w:val="auto"/>
        </w:rPr>
      </w:pPr>
    </w:p>
    <w:tbl>
      <w:tblPr>
        <w:tblLayout w:type="fixed"/>
        <w:tblInd w:w="500" w:type="dxa"/>
        <w:tblCellMar>
          <w:top w:w="0" w:type="dxa"/>
          <w:left w:w="0" w:type="dxa"/>
          <w:bottom w:w="0" w:type="dxa"/>
          <w:right w:w="0" w:type="dxa"/>
        </w:tblCellMar>
      </w:tblPr>
      <w:tr>
        <w:trPr>
          <w:trHeight w:val="191"/>
        </w:trPr>
        <w:tc>
          <w:tcPr>
            <w:tcW w:w="36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9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gridSpan w:val="4"/>
          </w:tcPr>
          <w:p>
            <w:pPr>
              <w:ind w:left="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6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9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740" w:type="dxa"/>
            <w:vAlign w:val="bottom"/>
            <w:gridSpan w:val="2"/>
            <w:vMerge w:val="restart"/>
          </w:tcPr>
          <w:p>
            <w:pPr>
              <w:ind w:left="14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12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Corporations</w:t>
            </w:r>
          </w:p>
        </w:tc>
        <w:tc>
          <w:tcPr>
            <w:tcW w:w="20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3"/>
          </w:tcPr>
          <w:p>
            <w:pPr>
              <w:jc w:val="right"/>
              <w:ind w:right="530"/>
              <w:spacing w:after="0"/>
              <w:rPr>
                <w:sz w:val="20"/>
                <w:szCs w:val="20"/>
                <w:color w:val="auto"/>
              </w:rPr>
            </w:pPr>
            <w:r>
              <w:rPr>
                <w:rFonts w:ascii="Arial" w:cs="Arial" w:eastAsia="Arial" w:hAnsi="Arial"/>
                <w:sz w:val="18"/>
                <w:szCs w:val="18"/>
                <w:b w:val="1"/>
                <w:bCs w:val="1"/>
                <w:color w:val="auto"/>
              </w:rPr>
              <w:t>institutions</w:t>
            </w:r>
          </w:p>
        </w:tc>
        <w:tc>
          <w:tcPr>
            <w:tcW w:w="18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740" w:type="dxa"/>
            <w:vAlign w:val="bottom"/>
            <w:gridSpan w:val="2"/>
            <w:vMerge w:val="continue"/>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Private</w:t>
            </w:r>
          </w:p>
        </w:tc>
        <w:tc>
          <w:tcPr>
            <w:tcW w:w="1340" w:type="dxa"/>
            <w:vAlign w:val="bottom"/>
            <w:gridSpan w:val="4"/>
          </w:tcPr>
          <w:p>
            <w:pPr>
              <w:jc w:val="right"/>
              <w:ind w:right="280"/>
              <w:spacing w:after="0"/>
              <w:rPr>
                <w:sz w:val="20"/>
                <w:szCs w:val="20"/>
                <w:color w:val="auto"/>
              </w:rPr>
            </w:pPr>
            <w:r>
              <w:rPr>
                <w:rFonts w:ascii="Arial" w:cs="Arial" w:eastAsia="Arial" w:hAnsi="Arial"/>
                <w:sz w:val="18"/>
                <w:szCs w:val="18"/>
                <w:b w:val="1"/>
                <w:bCs w:val="1"/>
                <w:color w:val="auto"/>
                <w:w w:val="97"/>
              </w:rPr>
              <w:t>State-owned</w:t>
            </w:r>
          </w:p>
        </w:tc>
        <w:tc>
          <w:tcPr>
            <w:tcW w:w="1040" w:type="dxa"/>
            <w:vAlign w:val="bottom"/>
            <w:gridSpan w:val="2"/>
          </w:tcPr>
          <w:p>
            <w:pPr>
              <w:ind w:left="100"/>
              <w:spacing w:after="0"/>
              <w:rPr>
                <w:sz w:val="20"/>
                <w:szCs w:val="20"/>
                <w:color w:val="auto"/>
              </w:rPr>
            </w:pPr>
            <w:r>
              <w:rPr>
                <w:rFonts w:ascii="Arial" w:cs="Arial" w:eastAsia="Arial" w:hAnsi="Arial"/>
                <w:sz w:val="18"/>
                <w:szCs w:val="18"/>
                <w:b w:val="1"/>
                <w:bCs w:val="1"/>
                <w:color w:val="auto"/>
              </w:rPr>
              <w:t>Private</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rPr>
              <w:t>State-owned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6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1,980,670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748,040</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1,456,785</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250,304</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177,004</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4,612,803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861,636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161,105</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252,853</w:t>
            </w: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306,859</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110,362</w:t>
            </w:r>
          </w:p>
        </w:tc>
        <w:tc>
          <w:tcPr>
            <w:tcW w:w="940" w:type="dxa"/>
            <w:vAlign w:val="bottom"/>
          </w:tcPr>
          <w:p>
            <w:pPr>
              <w:jc w:val="right"/>
              <w:spacing w:after="0"/>
              <w:rPr>
                <w:sz w:val="20"/>
                <w:szCs w:val="20"/>
                <w:color w:val="auto"/>
              </w:rPr>
            </w:pPr>
            <w:r>
              <w:rPr>
                <w:rFonts w:ascii="Arial" w:cs="Arial" w:eastAsia="Arial" w:hAnsi="Arial"/>
                <w:sz w:val="18"/>
                <w:szCs w:val="18"/>
                <w:color w:val="auto"/>
              </w:rPr>
              <w:t>1,692,815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38,400</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38,400</w:t>
            </w: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35,000</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35,000</w:t>
            </w: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10,056</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10,056</w:t>
            </w:r>
          </w:p>
        </w:tc>
        <w:tc>
          <w:tcPr>
            <w:tcW w:w="0" w:type="dxa"/>
            <w:vAlign w:val="bottom"/>
          </w:tcPr>
          <w:p>
            <w:pPr>
              <w:spacing w:after="0"/>
              <w:rPr>
                <w:sz w:val="1"/>
                <w:szCs w:val="1"/>
                <w:color w:val="auto"/>
              </w:rPr>
            </w:pPr>
          </w:p>
        </w:tc>
      </w:tr>
      <w:tr>
        <w:trPr>
          <w:trHeight w:val="230"/>
        </w:trPr>
        <w:tc>
          <w:tcPr>
            <w:tcW w:w="36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4,308</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4,308</w:t>
            </w:r>
          </w:p>
        </w:tc>
        <w:tc>
          <w:tcPr>
            <w:tcW w:w="0" w:type="dxa"/>
            <w:vAlign w:val="bottom"/>
          </w:tcPr>
          <w:p>
            <w:pPr>
              <w:spacing w:after="0"/>
              <w:rPr>
                <w:sz w:val="1"/>
                <w:szCs w:val="1"/>
                <w:color w:val="auto"/>
              </w:rPr>
            </w:pPr>
          </w:p>
        </w:tc>
      </w:tr>
      <w:tr>
        <w:trPr>
          <w:trHeight w:val="223"/>
        </w:trPr>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2,895,070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909,145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1,709,638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557,163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322,366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6,393,382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20" w:type="dxa"/>
            <w:vAlign w:val="bottom"/>
            <w:tcBorders>
              <w:bottom w:val="single" w:sz="8" w:color="auto"/>
            </w:tcBorders>
            <w:gridSpan w:val="6"/>
          </w:tcPr>
          <w:p>
            <w:pPr>
              <w:ind w:left="880"/>
              <w:spacing w:after="0"/>
              <w:rPr>
                <w:sz w:val="20"/>
                <w:szCs w:val="20"/>
                <w:color w:val="auto"/>
              </w:rPr>
            </w:pPr>
            <w:r>
              <w:rPr>
                <w:rFonts w:ascii="Arial" w:cs="Arial" w:eastAsia="Arial" w:hAnsi="Arial"/>
                <w:sz w:val="18"/>
                <w:szCs w:val="18"/>
                <w:b w:val="1"/>
                <w:bCs w:val="1"/>
                <w:color w:val="auto"/>
                <w:w w:val="93"/>
              </w:rPr>
              <w:t>December 31, 2015</w:t>
            </w:r>
          </w:p>
        </w:tc>
        <w:tc>
          <w:tcPr>
            <w:tcW w:w="8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6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60" w:type="dxa"/>
            <w:vAlign w:val="bottom"/>
            <w:gridSpan w:val="4"/>
          </w:tcPr>
          <w:p>
            <w:pPr>
              <w:ind w:left="80"/>
              <w:spacing w:after="0" w:line="191" w:lineRule="exact"/>
              <w:rPr>
                <w:sz w:val="20"/>
                <w:szCs w:val="20"/>
                <w:color w:val="auto"/>
              </w:rPr>
            </w:pPr>
            <w:r>
              <w:rPr>
                <w:rFonts w:ascii="Arial" w:cs="Arial" w:eastAsia="Arial" w:hAnsi="Arial"/>
                <w:sz w:val="18"/>
                <w:szCs w:val="18"/>
                <w:b w:val="1"/>
                <w:bCs w:val="1"/>
                <w:color w:val="auto"/>
              </w:rPr>
              <w:t>Banking and financial</w:t>
            </w:r>
          </w:p>
        </w:tc>
        <w:tc>
          <w:tcPr>
            <w:tcW w:w="136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Middle-market</w:t>
            </w: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740" w:type="dxa"/>
            <w:vAlign w:val="bottom"/>
            <w:gridSpan w:val="2"/>
            <w:vMerge w:val="restart"/>
          </w:tcPr>
          <w:p>
            <w:pPr>
              <w:ind w:left="1460"/>
              <w:spacing w:after="0"/>
              <w:rPr>
                <w:sz w:val="20"/>
                <w:szCs w:val="20"/>
                <w:color w:val="auto"/>
              </w:rPr>
            </w:pPr>
            <w:r>
              <w:rPr>
                <w:rFonts w:ascii="Arial" w:cs="Arial" w:eastAsia="Arial" w:hAnsi="Arial"/>
                <w:sz w:val="18"/>
                <w:szCs w:val="18"/>
                <w:b w:val="1"/>
                <w:bCs w:val="1"/>
                <w:color w:val="auto"/>
              </w:rPr>
              <w:t>Rating</w:t>
            </w:r>
            <w:r>
              <w:rPr>
                <w:rFonts w:ascii="Arial" w:cs="Arial" w:eastAsia="Arial" w:hAnsi="Arial"/>
                <w:sz w:val="30"/>
                <w:szCs w:val="30"/>
                <w:b w:val="1"/>
                <w:bCs w:val="1"/>
                <w:color w:val="auto"/>
                <w:vertAlign w:val="superscript"/>
              </w:rPr>
              <w:t>(1)</w:t>
            </w:r>
          </w:p>
        </w:tc>
        <w:tc>
          <w:tcPr>
            <w:tcW w:w="2120" w:type="dxa"/>
            <w:vAlign w:val="bottom"/>
            <w:tcBorders>
              <w:bottom w:val="single" w:sz="8" w:color="auto"/>
            </w:tcBorders>
            <w:gridSpan w:val="4"/>
          </w:tcPr>
          <w:p>
            <w:pPr>
              <w:jc w:val="right"/>
              <w:ind w:right="450"/>
              <w:spacing w:after="0"/>
              <w:rPr>
                <w:sz w:val="20"/>
                <w:szCs w:val="20"/>
                <w:color w:val="auto"/>
              </w:rPr>
            </w:pPr>
            <w:r>
              <w:rPr>
                <w:rFonts w:ascii="Arial" w:cs="Arial" w:eastAsia="Arial" w:hAnsi="Arial"/>
                <w:sz w:val="18"/>
                <w:szCs w:val="18"/>
                <w:b w:val="1"/>
                <w:bCs w:val="1"/>
                <w:color w:val="auto"/>
              </w:rPr>
              <w:t>Corporations</w:t>
            </w:r>
          </w:p>
        </w:tc>
        <w:tc>
          <w:tcPr>
            <w:tcW w:w="200" w:type="dxa"/>
            <w:vAlign w:val="bottom"/>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980" w:type="dxa"/>
            <w:vAlign w:val="bottom"/>
            <w:tcBorders>
              <w:bottom w:val="single" w:sz="8" w:color="auto"/>
            </w:tcBorders>
            <w:gridSpan w:val="3"/>
          </w:tcPr>
          <w:p>
            <w:pPr>
              <w:jc w:val="right"/>
              <w:ind w:right="530"/>
              <w:spacing w:after="0"/>
              <w:rPr>
                <w:sz w:val="20"/>
                <w:szCs w:val="20"/>
                <w:color w:val="auto"/>
              </w:rPr>
            </w:pPr>
            <w:r>
              <w:rPr>
                <w:rFonts w:ascii="Arial" w:cs="Arial" w:eastAsia="Arial" w:hAnsi="Arial"/>
                <w:sz w:val="18"/>
                <w:szCs w:val="18"/>
                <w:b w:val="1"/>
                <w:bCs w:val="1"/>
                <w:color w:val="auto"/>
              </w:rPr>
              <w:t>institutions</w:t>
            </w:r>
          </w:p>
        </w:tc>
        <w:tc>
          <w:tcPr>
            <w:tcW w:w="180" w:type="dxa"/>
            <w:vAlign w:val="bottom"/>
          </w:tcPr>
          <w:p>
            <w:pPr>
              <w:spacing w:after="0"/>
              <w:rPr>
                <w:sz w:val="20"/>
                <w:szCs w:val="20"/>
                <w:color w:val="auto"/>
              </w:rPr>
            </w:pPr>
          </w:p>
        </w:tc>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companies</w:t>
            </w:r>
          </w:p>
        </w:tc>
        <w:tc>
          <w:tcPr>
            <w:tcW w:w="2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3740" w:type="dxa"/>
            <w:vAlign w:val="bottom"/>
            <w:gridSpan w:val="2"/>
            <w:vMerge w:val="continue"/>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Private</w:t>
            </w:r>
          </w:p>
        </w:tc>
        <w:tc>
          <w:tcPr>
            <w:tcW w:w="1340" w:type="dxa"/>
            <w:vAlign w:val="bottom"/>
            <w:gridSpan w:val="4"/>
          </w:tcPr>
          <w:p>
            <w:pPr>
              <w:jc w:val="right"/>
              <w:ind w:right="280"/>
              <w:spacing w:after="0"/>
              <w:rPr>
                <w:sz w:val="20"/>
                <w:szCs w:val="20"/>
                <w:color w:val="auto"/>
              </w:rPr>
            </w:pPr>
            <w:r>
              <w:rPr>
                <w:rFonts w:ascii="Arial" w:cs="Arial" w:eastAsia="Arial" w:hAnsi="Arial"/>
                <w:sz w:val="18"/>
                <w:szCs w:val="18"/>
                <w:b w:val="1"/>
                <w:bCs w:val="1"/>
                <w:color w:val="auto"/>
                <w:w w:val="97"/>
              </w:rPr>
              <w:t>State-owned</w:t>
            </w:r>
          </w:p>
        </w:tc>
        <w:tc>
          <w:tcPr>
            <w:tcW w:w="1040" w:type="dxa"/>
            <w:vAlign w:val="bottom"/>
            <w:gridSpan w:val="2"/>
          </w:tcPr>
          <w:p>
            <w:pPr>
              <w:ind w:left="100"/>
              <w:spacing w:after="0"/>
              <w:rPr>
                <w:sz w:val="20"/>
                <w:szCs w:val="20"/>
                <w:color w:val="auto"/>
              </w:rPr>
            </w:pPr>
            <w:r>
              <w:rPr>
                <w:rFonts w:ascii="Arial" w:cs="Arial" w:eastAsia="Arial" w:hAnsi="Arial"/>
                <w:sz w:val="18"/>
                <w:szCs w:val="18"/>
                <w:b w:val="1"/>
                <w:bCs w:val="1"/>
                <w:color w:val="auto"/>
              </w:rPr>
              <w:t>Private</w:t>
            </w:r>
          </w:p>
        </w:tc>
        <w:tc>
          <w:tcPr>
            <w:tcW w:w="1120" w:type="dxa"/>
            <w:vAlign w:val="bottom"/>
            <w:gridSpan w:val="2"/>
          </w:tcPr>
          <w:p>
            <w:pPr>
              <w:spacing w:after="0"/>
              <w:rPr>
                <w:sz w:val="20"/>
                <w:szCs w:val="20"/>
                <w:color w:val="auto"/>
              </w:rPr>
            </w:pPr>
            <w:r>
              <w:rPr>
                <w:rFonts w:ascii="Arial" w:cs="Arial" w:eastAsia="Arial" w:hAnsi="Arial"/>
                <w:sz w:val="18"/>
                <w:szCs w:val="18"/>
                <w:b w:val="1"/>
                <w:bCs w:val="1"/>
                <w:color w:val="auto"/>
              </w:rPr>
              <w:t>State-owned</w:t>
            </w: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Private</w:t>
            </w:r>
          </w:p>
        </w:tc>
        <w:tc>
          <w:tcPr>
            <w:tcW w:w="104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6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2"/>
              </w:rPr>
              <w:t>1-4</w:t>
            </w:r>
          </w:p>
        </w:tc>
        <w:tc>
          <w:tcPr>
            <w:tcW w:w="10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2,644,758</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351,216</w:t>
            </w:r>
          </w:p>
        </w:tc>
        <w:tc>
          <w:tcPr>
            <w:tcW w:w="2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1,757,668</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309,559</w:t>
            </w: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212,746</w:t>
            </w:r>
          </w:p>
        </w:tc>
        <w:tc>
          <w:tcPr>
            <w:tcW w:w="20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5,275,947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92"/>
              </w:rPr>
              <w:t>5-6</w:t>
            </w:r>
          </w:p>
        </w:tc>
        <w:tc>
          <w:tcPr>
            <w:tcW w:w="100" w:type="dxa"/>
            <w:vAlign w:val="bottom"/>
          </w:tcPr>
          <w:p>
            <w:pPr>
              <w:spacing w:after="0"/>
              <w:rPr>
                <w:sz w:val="18"/>
                <w:szCs w:val="18"/>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558,612</w:t>
            </w:r>
          </w:p>
        </w:tc>
        <w:tc>
          <w:tcPr>
            <w:tcW w:w="1240" w:type="dxa"/>
            <w:vAlign w:val="bottom"/>
            <w:gridSpan w:val="3"/>
          </w:tcPr>
          <w:p>
            <w:pPr>
              <w:jc w:val="right"/>
              <w:ind w:right="200"/>
              <w:spacing w:after="0"/>
              <w:rPr>
                <w:sz w:val="20"/>
                <w:szCs w:val="20"/>
                <w:color w:val="auto"/>
              </w:rPr>
            </w:pPr>
            <w:r>
              <w:rPr>
                <w:rFonts w:ascii="Arial" w:cs="Arial" w:eastAsia="Arial" w:hAnsi="Arial"/>
                <w:sz w:val="18"/>
                <w:szCs w:val="18"/>
                <w:color w:val="auto"/>
              </w:rPr>
              <w:t>110,357</w:t>
            </w:r>
          </w:p>
        </w:tc>
        <w:tc>
          <w:tcPr>
            <w:tcW w:w="100" w:type="dxa"/>
            <w:vAlign w:val="bottom"/>
          </w:tcPr>
          <w:p>
            <w:pPr>
              <w:spacing w:after="0"/>
              <w:rPr>
                <w:sz w:val="18"/>
                <w:szCs w:val="18"/>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217,292</w:t>
            </w:r>
          </w:p>
        </w:tc>
        <w:tc>
          <w:tcPr>
            <w:tcW w:w="1120" w:type="dxa"/>
            <w:vAlign w:val="bottom"/>
            <w:gridSpan w:val="2"/>
          </w:tcPr>
          <w:p>
            <w:pPr>
              <w:jc w:val="right"/>
              <w:ind w:right="180"/>
              <w:spacing w:after="0"/>
              <w:rPr>
                <w:sz w:val="20"/>
                <w:szCs w:val="20"/>
                <w:color w:val="auto"/>
              </w:rPr>
            </w:pPr>
            <w:r>
              <w:rPr>
                <w:rFonts w:ascii="Arial" w:cs="Arial" w:eastAsia="Arial" w:hAnsi="Arial"/>
                <w:sz w:val="18"/>
                <w:szCs w:val="18"/>
                <w:color w:val="auto"/>
              </w:rPr>
              <w:t>303,118</w:t>
            </w:r>
          </w:p>
        </w:tc>
        <w:tc>
          <w:tcPr>
            <w:tcW w:w="1160" w:type="dxa"/>
            <w:vAlign w:val="bottom"/>
          </w:tcPr>
          <w:p>
            <w:pPr>
              <w:jc w:val="right"/>
              <w:spacing w:after="0"/>
              <w:rPr>
                <w:sz w:val="20"/>
                <w:szCs w:val="20"/>
                <w:color w:val="auto"/>
              </w:rPr>
            </w:pPr>
            <w:r>
              <w:rPr>
                <w:rFonts w:ascii="Arial" w:cs="Arial" w:eastAsia="Arial" w:hAnsi="Arial"/>
                <w:sz w:val="18"/>
                <w:szCs w:val="18"/>
                <w:color w:val="auto"/>
              </w:rPr>
              <w:t>174,094</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1,363,473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7</w:t>
            </w: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46,716</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46,716</w:t>
            </w:r>
          </w:p>
        </w:tc>
        <w:tc>
          <w:tcPr>
            <w:tcW w:w="0" w:type="dxa"/>
            <w:vAlign w:val="bottom"/>
          </w:tcPr>
          <w:p>
            <w:pPr>
              <w:spacing w:after="0"/>
              <w:rPr>
                <w:sz w:val="1"/>
                <w:szCs w:val="1"/>
                <w:color w:val="auto"/>
              </w:rPr>
            </w:pPr>
          </w:p>
        </w:tc>
      </w:tr>
      <w:tr>
        <w:trPr>
          <w:trHeight w:val="216"/>
        </w:trPr>
        <w:tc>
          <w:tcPr>
            <w:tcW w:w="3640" w:type="dxa"/>
            <w:vAlign w:val="bottom"/>
          </w:tcPr>
          <w:p>
            <w:pPr>
              <w:jc w:val="center"/>
              <w:spacing w:after="0"/>
              <w:rPr>
                <w:sz w:val="20"/>
                <w:szCs w:val="20"/>
                <w:color w:val="auto"/>
              </w:rPr>
            </w:pPr>
            <w:r>
              <w:rPr>
                <w:rFonts w:ascii="Arial" w:cs="Arial" w:eastAsia="Arial" w:hAnsi="Arial"/>
                <w:sz w:val="18"/>
                <w:szCs w:val="18"/>
                <w:color w:val="auto"/>
                <w:w w:val="99"/>
              </w:rPr>
              <w:t>8</w:t>
            </w:r>
          </w:p>
        </w:tc>
        <w:tc>
          <w:tcPr>
            <w:tcW w:w="1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9"/>
              </w:rPr>
              <w:t>9</w:t>
            </w:r>
          </w:p>
        </w:tc>
        <w:tc>
          <w:tcPr>
            <w:tcW w:w="1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4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00" w:type="dxa"/>
            <w:vAlign w:val="bottom"/>
          </w:tcPr>
          <w:p>
            <w:pPr>
              <w:spacing w:after="0"/>
              <w:rPr>
                <w:sz w:val="19"/>
                <w:szCs w:val="19"/>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8"/>
                <w:szCs w:val="18"/>
                <w:color w:val="auto"/>
              </w:rPr>
              <w:t>4,706</w:t>
            </w: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907</w:t>
            </w:r>
          </w:p>
        </w:tc>
        <w:tc>
          <w:tcPr>
            <w:tcW w:w="1040" w:type="dxa"/>
            <w:vAlign w:val="bottom"/>
            <w:gridSpan w:val="2"/>
          </w:tcPr>
          <w:p>
            <w:pPr>
              <w:jc w:val="right"/>
              <w:ind w:right="100"/>
              <w:spacing w:after="0"/>
              <w:rPr>
                <w:sz w:val="20"/>
                <w:szCs w:val="20"/>
                <w:color w:val="auto"/>
              </w:rPr>
            </w:pPr>
            <w:r>
              <w:rPr>
                <w:rFonts w:ascii="Arial" w:cs="Arial" w:eastAsia="Arial" w:hAnsi="Arial"/>
                <w:sz w:val="18"/>
                <w:szCs w:val="18"/>
                <w:color w:val="auto"/>
              </w:rPr>
              <w:t>5,613</w:t>
            </w:r>
          </w:p>
        </w:tc>
        <w:tc>
          <w:tcPr>
            <w:tcW w:w="0" w:type="dxa"/>
            <w:vAlign w:val="bottom"/>
          </w:tcPr>
          <w:p>
            <w:pPr>
              <w:spacing w:after="0"/>
              <w:rPr>
                <w:sz w:val="1"/>
                <w:szCs w:val="1"/>
                <w:color w:val="auto"/>
              </w:rPr>
            </w:pPr>
          </w:p>
        </w:tc>
      </w:tr>
      <w:tr>
        <w:trPr>
          <w:trHeight w:val="223"/>
        </w:trPr>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3,254,792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461,573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1,974,960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612,677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387,747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660" w:right="4640" w:hanging="4923"/>
        <w:spacing w:after="0" w:line="791" w:lineRule="auto"/>
        <w:tabs>
          <w:tab w:leader="none" w:pos="1068" w:val="left"/>
        </w:tabs>
        <w:numPr>
          <w:ilvl w:val="0"/>
          <w:numId w:val="20"/>
        </w:numPr>
        <w:rPr>
          <w:rFonts w:ascii="Arial" w:cs="Arial" w:eastAsia="Arial" w:hAnsi="Arial"/>
          <w:sz w:val="26"/>
          <w:szCs w:val="26"/>
          <w:color w:val="auto"/>
          <w:vertAlign w:val="superscript"/>
        </w:rPr>
      </w:pPr>
      <w:r>
        <w:rPr>
          <w:rFonts w:ascii="Arial" w:cs="Arial" w:eastAsia="Arial" w:hAnsi="Arial"/>
          <w:sz w:val="16"/>
          <w:szCs w:val="16"/>
          <w:color w:val="auto"/>
        </w:rPr>
        <w:t>Current ratings as of September 30, 2016 and December 31, 2015, respectively.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-434975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3" w:name="page24"/>
    <w:bookmarkEnd w:id="2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3" w:lineRule="exact"/>
        <w:rPr>
          <w:sz w:val="20"/>
          <w:szCs w:val="20"/>
          <w:color w:val="auto"/>
        </w:rPr>
      </w:pPr>
    </w:p>
    <w:p>
      <w:pPr>
        <w:ind w:left="500" w:hanging="492"/>
        <w:spacing w:after="0"/>
        <w:tabs>
          <w:tab w:leader="none" w:pos="50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a breakdown of gross loans by country risk:</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3560" w:type="dxa"/>
            <w:vAlign w:val="bottom"/>
          </w:tcPr>
          <w:p>
            <w:pPr>
              <w:spacing w:after="0"/>
              <w:rPr>
                <w:sz w:val="18"/>
                <w:szCs w:val="18"/>
                <w:color w:val="auto"/>
              </w:rPr>
            </w:pPr>
          </w:p>
        </w:tc>
        <w:tc>
          <w:tcPr>
            <w:tcW w:w="4060" w:type="dxa"/>
            <w:vAlign w:val="bottom"/>
          </w:tcPr>
          <w:p>
            <w:pPr>
              <w:spacing w:after="0"/>
              <w:rPr>
                <w:sz w:val="18"/>
                <w:szCs w:val="18"/>
                <w:color w:val="auto"/>
              </w:rPr>
            </w:pP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September 30,</w:t>
            </w:r>
          </w:p>
        </w:tc>
        <w:tc>
          <w:tcPr>
            <w:tcW w:w="14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560" w:type="dxa"/>
            <w:vAlign w:val="bottom"/>
          </w:tcPr>
          <w:p>
            <w:pPr>
              <w:spacing w:after="0"/>
              <w:rPr>
                <w:sz w:val="20"/>
                <w:szCs w:val="20"/>
                <w:color w:val="auto"/>
              </w:rPr>
            </w:pPr>
          </w:p>
        </w:tc>
        <w:tc>
          <w:tcPr>
            <w:tcW w:w="546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5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06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297,105</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142,437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Belgium</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12,629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Bermuda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19,600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19,199</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19,911</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Brazil</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1,182,946</w:t>
            </w:r>
          </w:p>
        </w:tc>
        <w:tc>
          <w:tcPr>
            <w:tcW w:w="1380" w:type="dxa"/>
            <w:vAlign w:val="bottom"/>
          </w:tcPr>
          <w:p>
            <w:pPr>
              <w:jc w:val="right"/>
              <w:spacing w:after="0"/>
              <w:rPr>
                <w:sz w:val="20"/>
                <w:szCs w:val="20"/>
                <w:color w:val="auto"/>
              </w:rPr>
            </w:pPr>
            <w:r>
              <w:rPr>
                <w:rFonts w:ascii="Arial" w:cs="Arial" w:eastAsia="Arial" w:hAnsi="Arial"/>
                <w:sz w:val="18"/>
                <w:szCs w:val="18"/>
                <w:color w:val="auto"/>
              </w:rPr>
              <w:t>1,605,497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145,177</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195,290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673,754</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620,547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434,363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341,490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179,116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384,353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194,989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169,164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117,270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68,465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Germany</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65,000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97,000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374,959</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457,700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Honduras</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91,643</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118,109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35,578</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16,520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Mexico</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812,691</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788,893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Nicaragua</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32,043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16,820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Panama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480,312</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455,405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Paraguay</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113,683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116,348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Peru</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605,923</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511,250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Singapore</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50,552</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11,655</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Switzerland</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38,000</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44,650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185,022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200,000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560" w:type="dxa"/>
            <w:vAlign w:val="bottom"/>
          </w:tcPr>
          <w:p>
            <w:pPr>
              <w:ind w:left="160"/>
              <w:spacing w:after="0"/>
              <w:rPr>
                <w:sz w:val="20"/>
                <w:szCs w:val="20"/>
                <w:color w:val="auto"/>
              </w:rPr>
            </w:pPr>
            <w:r>
              <w:rPr>
                <w:rFonts w:ascii="Arial" w:cs="Arial" w:eastAsia="Arial" w:hAnsi="Arial"/>
                <w:sz w:val="18"/>
                <w:szCs w:val="18"/>
                <w:color w:val="auto"/>
              </w:rPr>
              <w:t>United States of America</w:t>
            </w:r>
          </w:p>
        </w:tc>
        <w:tc>
          <w:tcPr>
            <w:tcW w:w="5680" w:type="dxa"/>
            <w:vAlign w:val="bottom"/>
            <w:gridSpan w:val="3"/>
          </w:tcPr>
          <w:p>
            <w:pPr>
              <w:jc w:val="right"/>
              <w:ind w:right="220"/>
              <w:spacing w:after="0"/>
              <w:rPr>
                <w:sz w:val="20"/>
                <w:szCs w:val="20"/>
                <w:color w:val="auto"/>
              </w:rPr>
            </w:pPr>
            <w:r>
              <w:rPr>
                <w:rFonts w:ascii="Arial" w:cs="Arial" w:eastAsia="Arial" w:hAnsi="Arial"/>
                <w:sz w:val="18"/>
                <w:szCs w:val="18"/>
                <w:color w:val="auto"/>
              </w:rPr>
              <w:t>66,557</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53,516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568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196,000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218,500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560" w:type="dxa"/>
            <w:vAlign w:val="bottom"/>
          </w:tcPr>
          <w:p>
            <w:pPr>
              <w:spacing w:after="0"/>
              <w:rPr>
                <w:sz w:val="20"/>
                <w:szCs w:val="20"/>
                <w:color w:val="auto"/>
              </w:rPr>
            </w:pPr>
            <w:r>
              <w:rPr>
                <w:rFonts w:ascii="Arial" w:cs="Arial" w:eastAsia="Arial" w:hAnsi="Arial"/>
                <w:sz w:val="18"/>
                <w:szCs w:val="18"/>
                <w:color w:val="auto"/>
              </w:rPr>
              <w:t>Total</w:t>
            </w:r>
          </w:p>
        </w:tc>
        <w:tc>
          <w:tcPr>
            <w:tcW w:w="406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6,393,382</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560" w:type="dxa"/>
            <w:vAlign w:val="bottom"/>
          </w:tcPr>
          <w:p>
            <w:pPr>
              <w:spacing w:after="0" w:line="20" w:lineRule="exact"/>
              <w:rPr>
                <w:sz w:val="1"/>
                <w:szCs w:val="1"/>
                <w:color w:val="auto"/>
              </w:rPr>
            </w:pPr>
          </w:p>
        </w:tc>
        <w:tc>
          <w:tcPr>
            <w:tcW w:w="4060" w:type="dxa"/>
            <w:vAlign w:val="bottom"/>
            <w:vMerge w:val="restart"/>
          </w:tcPr>
          <w:p>
            <w:pPr>
              <w:jc w:val="right"/>
              <w:ind w:right="2190"/>
              <w:spacing w:after="0"/>
              <w:rPr>
                <w:sz w:val="20"/>
                <w:szCs w:val="20"/>
                <w:color w:val="auto"/>
              </w:rPr>
            </w:pPr>
            <w:r>
              <w:rPr>
                <w:rFonts w:ascii="Arial" w:cs="Arial" w:eastAsia="Arial" w:hAnsi="Arial"/>
                <w:sz w:val="18"/>
                <w:szCs w:val="18"/>
                <w:color w:val="auto"/>
              </w:rPr>
              <w:t>22</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406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4" w:name="page25"/>
    <w:bookmarkEnd w:id="24"/>
    <w:p>
      <w:pPr>
        <w:ind w:right="562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4.</w:t>
            </w:r>
          </w:p>
        </w:tc>
        <w:tc>
          <w:tcPr>
            <w:tcW w:w="780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 instruments (continued)</w:t>
            </w:r>
          </w:p>
        </w:tc>
        <w:tc>
          <w:tcPr>
            <w:tcW w:w="1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7800" w:type="dxa"/>
            <w:vAlign w:val="bottom"/>
            <w:gridSpan w:val="2"/>
          </w:tcPr>
          <w:p>
            <w:pPr>
              <w:ind w:left="180"/>
              <w:spacing w:after="0"/>
              <w:rPr>
                <w:sz w:val="20"/>
                <w:szCs w:val="20"/>
                <w:color w:val="auto"/>
              </w:rPr>
            </w:pPr>
            <w:r>
              <w:rPr>
                <w:rFonts w:ascii="Arial" w:cs="Arial" w:eastAsia="Arial" w:hAnsi="Arial"/>
                <w:sz w:val="18"/>
                <w:szCs w:val="18"/>
                <w:b w:val="1"/>
                <w:bCs w:val="1"/>
                <w:color w:val="auto"/>
              </w:rPr>
              <w:t>4.6   Loans – at amortized cost (continued)</w:t>
            </w: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7800" w:type="dxa"/>
            <w:vAlign w:val="bottom"/>
            <w:gridSpan w:val="2"/>
          </w:tcPr>
          <w:p>
            <w:pPr>
              <w:ind w:left="180"/>
              <w:spacing w:after="0"/>
              <w:rPr>
                <w:sz w:val="20"/>
                <w:szCs w:val="20"/>
                <w:color w:val="auto"/>
              </w:rPr>
            </w:pPr>
            <w:r>
              <w:rPr>
                <w:rFonts w:ascii="Arial" w:cs="Arial" w:eastAsia="Arial" w:hAnsi="Arial"/>
                <w:sz w:val="18"/>
                <w:szCs w:val="18"/>
                <w:color w:val="auto"/>
              </w:rPr>
              <w:t>The remaining loan maturities are summarized as follows:</w:t>
            </w: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20" w:type="dxa"/>
            <w:vAlign w:val="bottom"/>
          </w:tcPr>
          <w:p>
            <w:pPr>
              <w:spacing w:after="0"/>
              <w:rPr>
                <w:sz w:val="24"/>
                <w:szCs w:val="2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20" w:type="dxa"/>
            <w:vAlign w:val="bottom"/>
            <w:tcBorders>
              <w:bottom w:val="single" w:sz="8" w:color="CCEEFF"/>
            </w:tcBorders>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983,436</w:t>
            </w:r>
          </w:p>
        </w:tc>
        <w:tc>
          <w:tcPr>
            <w:tcW w:w="1380" w:type="dxa"/>
            <w:vAlign w:val="bottom"/>
          </w:tcPr>
          <w:p>
            <w:pPr>
              <w:jc w:val="right"/>
              <w:spacing w:after="0"/>
              <w:rPr>
                <w:sz w:val="20"/>
                <w:szCs w:val="20"/>
                <w:color w:val="auto"/>
              </w:rPr>
            </w:pPr>
            <w:r>
              <w:rPr>
                <w:rFonts w:ascii="Arial" w:cs="Arial" w:eastAsia="Arial" w:hAnsi="Arial"/>
                <w:sz w:val="18"/>
                <w:szCs w:val="18"/>
                <w:color w:val="auto"/>
              </w:rPr>
              <w:t>1,031,608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1,203,625</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1,336,901</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1,430,788</w:t>
            </w:r>
          </w:p>
        </w:tc>
        <w:tc>
          <w:tcPr>
            <w:tcW w:w="1380" w:type="dxa"/>
            <w:vAlign w:val="bottom"/>
          </w:tcPr>
          <w:p>
            <w:pPr>
              <w:jc w:val="right"/>
              <w:spacing w:after="0"/>
              <w:rPr>
                <w:sz w:val="20"/>
                <w:szCs w:val="20"/>
                <w:color w:val="auto"/>
              </w:rPr>
            </w:pPr>
            <w:r>
              <w:rPr>
                <w:rFonts w:ascii="Arial" w:cs="Arial" w:eastAsia="Arial" w:hAnsi="Arial"/>
                <w:sz w:val="18"/>
                <w:szCs w:val="18"/>
                <w:color w:val="auto"/>
              </w:rPr>
              <w:t>1,094,885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1,032,822</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1,170,114</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835,098</w:t>
            </w:r>
          </w:p>
        </w:tc>
        <w:tc>
          <w:tcPr>
            <w:tcW w:w="1380" w:type="dxa"/>
            <w:vAlign w:val="bottom"/>
          </w:tcPr>
          <w:p>
            <w:pPr>
              <w:jc w:val="right"/>
              <w:spacing w:after="0"/>
              <w:rPr>
                <w:sz w:val="20"/>
                <w:szCs w:val="20"/>
                <w:color w:val="auto"/>
              </w:rPr>
            </w:pPr>
            <w:r>
              <w:rPr>
                <w:rFonts w:ascii="Arial" w:cs="Arial" w:eastAsia="Arial" w:hAnsi="Arial"/>
                <w:sz w:val="18"/>
                <w:szCs w:val="18"/>
                <w:color w:val="auto"/>
              </w:rPr>
              <w:t>1,000,553</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783,283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967,416</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ind w:left="160"/>
              <w:spacing w:after="0"/>
              <w:rPr>
                <w:sz w:val="20"/>
                <w:szCs w:val="20"/>
                <w:color w:val="auto"/>
              </w:rPr>
            </w:pPr>
            <w:r>
              <w:rPr>
                <w:rFonts w:ascii="Arial" w:cs="Arial" w:eastAsia="Arial" w:hAnsi="Arial"/>
                <w:sz w:val="18"/>
                <w:szCs w:val="18"/>
                <w:color w:val="auto"/>
              </w:rPr>
              <w:t>More than 5 years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36,566</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37,943</w:t>
            </w: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6,305,618</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6,639,420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620" w:type="dxa"/>
            <w:vAlign w:val="bottom"/>
          </w:tcPr>
          <w:p>
            <w:pPr>
              <w:spacing w:after="0"/>
              <w:rPr>
                <w:sz w:val="20"/>
                <w:szCs w:val="20"/>
                <w:color w:val="auto"/>
              </w:rPr>
            </w:pPr>
            <w:r>
              <w:rPr>
                <w:rFonts w:ascii="Arial" w:cs="Arial" w:eastAsia="Arial" w:hAnsi="Arial"/>
                <w:sz w:val="18"/>
                <w:szCs w:val="18"/>
                <w:color w:val="auto"/>
              </w:rPr>
              <w:t>Delinquent</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4,000</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Impaired</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83,764</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52,329</w:t>
            </w: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6,393,382</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7800" w:type="dxa"/>
            <w:vAlign w:val="bottom"/>
            <w:gridSpan w:val="2"/>
            <w:vMerge w:val="restart"/>
          </w:tcPr>
          <w:p>
            <w:pPr>
              <w:ind w:left="180"/>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20" w:type="dxa"/>
            <w:vAlign w:val="bottom"/>
          </w:tcPr>
          <w:p>
            <w:pPr>
              <w:spacing w:after="0"/>
              <w:rPr>
                <w:sz w:val="24"/>
                <w:szCs w:val="24"/>
                <w:color w:val="auto"/>
              </w:rPr>
            </w:pPr>
          </w:p>
        </w:tc>
        <w:tc>
          <w:tcPr>
            <w:tcW w:w="7800" w:type="dxa"/>
            <w:vAlign w:val="bottom"/>
            <w:gridSpan w:val="2"/>
            <w:vMerge w:val="continue"/>
          </w:tcPr>
          <w:p>
            <w:pPr>
              <w:spacing w:after="0"/>
              <w:rPr>
                <w:sz w:val="24"/>
                <w:szCs w:val="24"/>
                <w:color w:val="auto"/>
              </w:rPr>
            </w:pPr>
          </w:p>
        </w:tc>
        <w:tc>
          <w:tcPr>
            <w:tcW w:w="14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620" w:type="dxa"/>
            <w:vAlign w:val="bottom"/>
          </w:tcPr>
          <w:p>
            <w:pPr>
              <w:spacing w:after="0"/>
              <w:rPr>
                <w:sz w:val="24"/>
                <w:szCs w:val="2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14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2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vMerge w:val="restart"/>
          </w:tcPr>
          <w:p>
            <w:pPr>
              <w:spacing w:after="0"/>
              <w:rPr>
                <w:sz w:val="18"/>
                <w:szCs w:val="18"/>
                <w:color w:val="auto"/>
              </w:rPr>
            </w:pPr>
          </w:p>
        </w:tc>
        <w:tc>
          <w:tcPr>
            <w:tcW w:w="76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vMerge w:val="continue"/>
          </w:tcPr>
          <w:p>
            <w:pPr>
              <w:spacing w:after="0"/>
              <w:rPr>
                <w:sz w:val="18"/>
                <w:szCs w:val="18"/>
                <w:color w:val="auto"/>
              </w:rPr>
            </w:pPr>
          </w:p>
        </w:tc>
        <w:tc>
          <w:tcPr>
            <w:tcW w:w="762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2,964,135</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3,177,147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3,429,247</w:t>
            </w:r>
          </w:p>
        </w:tc>
        <w:tc>
          <w:tcPr>
            <w:tcW w:w="1380" w:type="dxa"/>
            <w:vAlign w:val="bottom"/>
          </w:tcPr>
          <w:p>
            <w:pPr>
              <w:jc w:val="right"/>
              <w:spacing w:after="0"/>
              <w:rPr>
                <w:sz w:val="20"/>
                <w:szCs w:val="20"/>
                <w:color w:val="auto"/>
              </w:rPr>
            </w:pPr>
            <w:r>
              <w:rPr>
                <w:rFonts w:ascii="Arial" w:cs="Arial" w:eastAsia="Arial" w:hAnsi="Arial"/>
                <w:sz w:val="18"/>
                <w:szCs w:val="18"/>
                <w:color w:val="auto"/>
              </w:rPr>
              <w:t>3,514,602</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6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6,393,382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6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As of September 30, 2016 and December 31, 2015, 86% and 90%, respectively, of the loan portfolio at fixed interest rates have remaining maturities of less than 180 days.</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An analysis of credit- impaired balances as of September 30, 2016 and December 31, 2015 is detailed as follows:</w:t>
      </w:r>
    </w:p>
    <w:p>
      <w:pPr>
        <w:sectPr>
          <w:pgSz w:w="11900" w:h="16838" w:orient="portrait"/>
          <w:cols w:equalWidth="0" w:num="1">
            <w:col w:w="11400"/>
          </w:cols>
          <w:pgMar w:left="240" w:top="904" w:right="2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500"/>
        <w:spacing w:after="0"/>
        <w:rPr>
          <w:sz w:val="20"/>
          <w:szCs w:val="20"/>
          <w:color w:val="auto"/>
        </w:rPr>
      </w:pPr>
      <w:r>
        <w:rPr>
          <w:rFonts w:ascii="Arial" w:cs="Arial" w:eastAsia="Arial" w:hAnsi="Arial"/>
          <w:sz w:val="16"/>
          <w:szCs w:val="16"/>
          <w:color w:val="auto"/>
        </w:rPr>
        <w:t>With an allowance recorded:</w:t>
      </w:r>
    </w:p>
    <w:p>
      <w:pPr>
        <w:spacing w:after="0" w:line="46" w:lineRule="exact"/>
        <w:rPr>
          <w:sz w:val="20"/>
          <w:szCs w:val="20"/>
          <w:color w:val="auto"/>
        </w:rPr>
      </w:pPr>
    </w:p>
    <w:p>
      <w:pPr>
        <w:ind w:left="660"/>
        <w:spacing w:after="0"/>
        <w:rPr>
          <w:sz w:val="20"/>
          <w:szCs w:val="20"/>
          <w:color w:val="auto"/>
        </w:rPr>
      </w:pPr>
      <w:r>
        <w:rPr>
          <w:rFonts w:ascii="Arial" w:cs="Arial" w:eastAsia="Arial" w:hAnsi="Arial"/>
          <w:sz w:val="18"/>
          <w:szCs w:val="18"/>
          <w:color w:val="auto"/>
        </w:rPr>
        <w:t>Private corporations</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Middle-market companies</w:t>
      </w:r>
    </w:p>
    <w:p>
      <w:pPr>
        <w:spacing w:after="0" w:line="3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4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8"/>
                <w:szCs w:val="18"/>
                <w:b w:val="1"/>
                <w:bCs w:val="1"/>
                <w:color w:val="auto"/>
                <w:w w:val="89"/>
              </w:rPr>
              <w:t>September 30, 2016</w:t>
            </w:r>
          </w:p>
        </w:tc>
        <w:tc>
          <w:tcPr>
            <w:tcW w:w="1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7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2016</w:t>
            </w:r>
          </w:p>
        </w:tc>
        <w:tc>
          <w:tcPr>
            <w:tcW w:w="1200" w:type="dxa"/>
            <w:vAlign w:val="bottom"/>
            <w:tcBorders>
              <w:bottom w:val="single" w:sz="8" w:color="auto"/>
            </w:tcBorders>
          </w:tcPr>
          <w:p>
            <w:pPr>
              <w:spacing w:after="0"/>
              <w:rPr>
                <w:sz w:val="20"/>
                <w:szCs w:val="20"/>
                <w:color w:val="auto"/>
              </w:rPr>
            </w:pPr>
          </w:p>
        </w:tc>
      </w:tr>
      <w:tr>
        <w:trPr>
          <w:trHeight w:val="191"/>
        </w:trPr>
        <w:tc>
          <w:tcPr>
            <w:tcW w:w="14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60" w:type="dxa"/>
            <w:vAlign w:val="bottom"/>
            <w:gridSpan w:val="3"/>
          </w:tcPr>
          <w:p>
            <w:pPr>
              <w:jc w:val="center"/>
              <w:ind w:right="420"/>
              <w:spacing w:after="0" w:line="191" w:lineRule="exact"/>
              <w:rPr>
                <w:sz w:val="20"/>
                <w:szCs w:val="20"/>
                <w:color w:val="auto"/>
              </w:rPr>
            </w:pPr>
            <w:r>
              <w:rPr>
                <w:rFonts w:ascii="Arial" w:cs="Arial" w:eastAsia="Arial" w:hAnsi="Arial"/>
                <w:sz w:val="18"/>
                <w:szCs w:val="18"/>
                <w:b w:val="1"/>
                <w:bCs w:val="1"/>
                <w:color w:val="auto"/>
                <w:w w:val="87"/>
              </w:rPr>
              <w:t>Average</w:t>
            </w:r>
          </w:p>
        </w:tc>
        <w:tc>
          <w:tcPr>
            <w:tcW w:w="1200" w:type="dxa"/>
            <w:vAlign w:val="bottom"/>
          </w:tcPr>
          <w:p>
            <w:pPr>
              <w:spacing w:after="0"/>
              <w:rPr>
                <w:sz w:val="16"/>
                <w:szCs w:val="16"/>
                <w:color w:val="auto"/>
              </w:rPr>
            </w:pPr>
          </w:p>
        </w:tc>
      </w:tr>
      <w:tr>
        <w:trPr>
          <w:trHeight w:val="216"/>
        </w:trPr>
        <w:tc>
          <w:tcPr>
            <w:tcW w:w="1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Unpaid</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Related</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3"/>
              </w:rPr>
              <w:t>principal</w:t>
            </w:r>
          </w:p>
        </w:tc>
        <w:tc>
          <w:tcPr>
            <w:tcW w:w="1200" w:type="dxa"/>
            <w:vAlign w:val="bottom"/>
          </w:tcPr>
          <w:p>
            <w:pPr>
              <w:jc w:val="center"/>
              <w:ind w:right="70"/>
              <w:spacing w:after="0"/>
              <w:rPr>
                <w:sz w:val="20"/>
                <w:szCs w:val="20"/>
                <w:color w:val="auto"/>
              </w:rPr>
            </w:pPr>
            <w:r>
              <w:rPr>
                <w:rFonts w:ascii="Arial" w:cs="Arial" w:eastAsia="Arial" w:hAnsi="Arial"/>
                <w:sz w:val="18"/>
                <w:szCs w:val="18"/>
                <w:b w:val="1"/>
                <w:bCs w:val="1"/>
                <w:color w:val="auto"/>
                <w:w w:val="92"/>
              </w:rPr>
              <w:t>Interest</w:t>
            </w:r>
          </w:p>
        </w:tc>
      </w:tr>
      <w:tr>
        <w:trPr>
          <w:trHeight w:val="216"/>
        </w:trPr>
        <w:tc>
          <w:tcPr>
            <w:tcW w:w="1500" w:type="dxa"/>
            <w:vAlign w:val="bottom"/>
            <w:gridSpan w:val="2"/>
          </w:tcPr>
          <w:p>
            <w:pPr>
              <w:ind w:left="320"/>
              <w:spacing w:after="0"/>
              <w:rPr>
                <w:sz w:val="20"/>
                <w:szCs w:val="20"/>
                <w:color w:val="auto"/>
              </w:rPr>
            </w:pPr>
            <w:r>
              <w:rPr>
                <w:rFonts w:ascii="Arial" w:cs="Arial" w:eastAsia="Arial" w:hAnsi="Arial"/>
                <w:sz w:val="18"/>
                <w:szCs w:val="18"/>
                <w:b w:val="1"/>
                <w:bCs w:val="1"/>
                <w:color w:val="auto"/>
              </w:rPr>
              <w:t>Recorded</w:t>
            </w:r>
          </w:p>
        </w:tc>
        <w:tc>
          <w:tcPr>
            <w:tcW w:w="14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principal</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1"/>
              </w:rPr>
              <w:t>loan</w:t>
            </w:r>
          </w:p>
        </w:tc>
        <w:tc>
          <w:tcPr>
            <w:tcW w:w="1200" w:type="dxa"/>
            <w:vAlign w:val="bottom"/>
          </w:tcPr>
          <w:p>
            <w:pPr>
              <w:jc w:val="center"/>
              <w:ind w:right="90"/>
              <w:spacing w:after="0"/>
              <w:rPr>
                <w:sz w:val="20"/>
                <w:szCs w:val="20"/>
                <w:color w:val="auto"/>
              </w:rPr>
            </w:pPr>
            <w:r>
              <w:rPr>
                <w:rFonts w:ascii="Arial" w:cs="Arial" w:eastAsia="Arial" w:hAnsi="Arial"/>
                <w:sz w:val="18"/>
                <w:szCs w:val="18"/>
                <w:b w:val="1"/>
                <w:bCs w:val="1"/>
                <w:color w:val="auto"/>
                <w:w w:val="85"/>
              </w:rPr>
              <w:t>income</w:t>
            </w:r>
          </w:p>
        </w:tc>
      </w:tr>
      <w:tr>
        <w:trPr>
          <w:trHeight w:val="234"/>
        </w:trPr>
        <w:tc>
          <w:tcPr>
            <w:tcW w:w="142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investment</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balance</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Stage 3</w:t>
            </w:r>
          </w:p>
        </w:tc>
        <w:tc>
          <w:tcPr>
            <w:tcW w:w="220" w:type="dxa"/>
            <w:vAlign w:val="bottom"/>
          </w:tcPr>
          <w:p>
            <w:pPr>
              <w:spacing w:after="0"/>
              <w:rPr>
                <w:sz w:val="20"/>
                <w:szCs w:val="20"/>
                <w:color w:val="auto"/>
              </w:rPr>
            </w:pPr>
          </w:p>
        </w:tc>
        <w:tc>
          <w:tcPr>
            <w:tcW w:w="14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balance</w:t>
            </w:r>
          </w:p>
        </w:tc>
        <w:tc>
          <w:tcPr>
            <w:tcW w:w="180" w:type="dxa"/>
            <w:vAlign w:val="bottom"/>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jc w:val="center"/>
              <w:ind w:right="90"/>
              <w:spacing w:after="0"/>
              <w:rPr>
                <w:sz w:val="20"/>
                <w:szCs w:val="20"/>
                <w:color w:val="auto"/>
              </w:rPr>
            </w:pPr>
            <w:r>
              <w:rPr>
                <w:rFonts w:ascii="Arial" w:cs="Arial" w:eastAsia="Arial" w:hAnsi="Arial"/>
                <w:sz w:val="18"/>
                <w:szCs w:val="18"/>
                <w:b w:val="1"/>
                <w:bCs w:val="1"/>
                <w:color w:val="auto"/>
                <w:w w:val="86"/>
              </w:rPr>
              <w:t>recognized</w:t>
            </w:r>
          </w:p>
        </w:tc>
      </w:tr>
      <w:tr>
        <w:trPr>
          <w:trHeight w:val="425"/>
        </w:trPr>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48,764</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26,762</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33,993</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21,591</w:t>
            </w:r>
          </w:p>
        </w:tc>
        <w:tc>
          <w:tcPr>
            <w:tcW w:w="18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321</w:t>
            </w:r>
          </w:p>
        </w:tc>
      </w:tr>
      <w:tr>
        <w:trPr>
          <w:trHeight w:val="230"/>
        </w:trPr>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35,000</w:t>
            </w:r>
          </w:p>
        </w:tc>
        <w:tc>
          <w:tcPr>
            <w:tcW w:w="1760" w:type="dxa"/>
            <w:vAlign w:val="bottom"/>
            <w:gridSpan w:val="3"/>
          </w:tcPr>
          <w:p>
            <w:pPr>
              <w:jc w:val="right"/>
              <w:ind w:right="220"/>
              <w:spacing w:after="0"/>
              <w:rPr>
                <w:sz w:val="20"/>
                <w:szCs w:val="20"/>
                <w:color w:val="auto"/>
              </w:rPr>
            </w:pPr>
            <w:r>
              <w:rPr>
                <w:rFonts w:ascii="Arial" w:cs="Arial" w:eastAsia="Arial" w:hAnsi="Arial"/>
                <w:sz w:val="18"/>
                <w:szCs w:val="18"/>
                <w:color w:val="auto"/>
              </w:rPr>
              <w:t>35,000</w:t>
            </w:r>
          </w:p>
        </w:tc>
        <w:tc>
          <w:tcPr>
            <w:tcW w:w="1400" w:type="dxa"/>
            <w:vAlign w:val="bottom"/>
          </w:tcPr>
          <w:p>
            <w:pPr>
              <w:jc w:val="right"/>
              <w:spacing w:after="0"/>
              <w:rPr>
                <w:sz w:val="20"/>
                <w:szCs w:val="20"/>
                <w:color w:val="auto"/>
              </w:rPr>
            </w:pPr>
            <w:r>
              <w:rPr>
                <w:rFonts w:ascii="Arial" w:cs="Arial" w:eastAsia="Arial" w:hAnsi="Arial"/>
                <w:sz w:val="18"/>
                <w:szCs w:val="18"/>
                <w:color w:val="auto"/>
              </w:rPr>
              <w:t>8,750</w:t>
            </w:r>
          </w:p>
        </w:tc>
        <w:tc>
          <w:tcPr>
            <w:tcW w:w="220" w:type="dxa"/>
            <w:vAlign w:val="bottom"/>
          </w:tcPr>
          <w:p>
            <w:pPr>
              <w:spacing w:after="0"/>
              <w:rPr>
                <w:sz w:val="20"/>
                <w:szCs w:val="20"/>
                <w:color w:val="auto"/>
              </w:rPr>
            </w:pP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13,103</w:t>
            </w:r>
          </w:p>
        </w:tc>
        <w:tc>
          <w:tcPr>
            <w:tcW w:w="180" w:type="dxa"/>
            <w:vAlign w:val="bottom"/>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1,240</w:t>
            </w:r>
          </w:p>
        </w:tc>
      </w:tr>
      <w:tr>
        <w:trPr>
          <w:trHeight w:val="223"/>
        </w:trPr>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83,764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61,762</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42,743</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34,694</w:t>
            </w:r>
          </w:p>
        </w:tc>
        <w:tc>
          <w:tcPr>
            <w:tcW w:w="18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1,561</w:t>
            </w:r>
          </w:p>
        </w:tc>
      </w:tr>
      <w:tr>
        <w:trPr>
          <w:trHeight w:val="20"/>
        </w:trPr>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-1768475</wp:posOffset>
            </wp:positionH>
            <wp:positionV relativeFrom="paragraph">
              <wp:posOffset>-608330</wp:posOffset>
            </wp:positionV>
            <wp:extent cx="6809105" cy="14605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-1768475</wp:posOffset>
            </wp:positionH>
            <wp:positionV relativeFrom="paragraph">
              <wp:posOffset>-325120</wp:posOffset>
            </wp:positionV>
            <wp:extent cx="6809105" cy="1460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560" w:space="720"/>
            <w:col w:w="8120"/>
          </w:cols>
          <w:pgMar w:left="240" w:top="904" w:right="259" w:bottom="1440" w:gutter="0" w:footer="0" w:header="0"/>
          <w:type w:val="continuous"/>
        </w:sectPr>
      </w:pPr>
    </w:p>
    <w:p>
      <w:pPr>
        <w:spacing w:after="0" w:line="218" w:lineRule="exact"/>
        <w:rPr>
          <w:sz w:val="20"/>
          <w:szCs w:val="20"/>
          <w:color w:val="auto"/>
        </w:rPr>
      </w:pPr>
    </w:p>
    <w:p>
      <w:pPr>
        <w:jc w:val="center"/>
        <w:ind w:right="-99"/>
        <w:spacing w:after="0"/>
        <w:rPr>
          <w:sz w:val="20"/>
          <w:szCs w:val="20"/>
          <w:color w:val="auto"/>
        </w:rPr>
      </w:pPr>
      <w:r>
        <w:rPr>
          <w:rFonts w:ascii="Arial" w:cs="Arial" w:eastAsia="Arial" w:hAnsi="Arial"/>
          <w:sz w:val="16"/>
          <w:szCs w:val="16"/>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4" w:right="259" w:bottom="1440" w:gutter="0" w:footer="0" w:header="0"/>
          <w:type w:val="continuous"/>
        </w:sectPr>
      </w:pPr>
    </w:p>
    <w:bookmarkStart w:id="25" w:name="page26"/>
    <w:bookmarkEnd w:id="2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39"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78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740" w:type="dxa"/>
            <w:vAlign w:val="bottom"/>
            <w:tcBorders>
              <w:bottom w:val="single" w:sz="8" w:color="auto"/>
            </w:tcBorders>
            <w:gridSpan w:val="3"/>
          </w:tcPr>
          <w:p>
            <w:pPr>
              <w:jc w:val="center"/>
              <w:ind w:right="120"/>
              <w:spacing w:after="0"/>
              <w:rPr>
                <w:sz w:val="20"/>
                <w:szCs w:val="20"/>
                <w:color w:val="auto"/>
              </w:rPr>
            </w:pPr>
            <w:r>
              <w:rPr>
                <w:rFonts w:ascii="Arial" w:cs="Arial" w:eastAsia="Arial" w:hAnsi="Arial"/>
                <w:sz w:val="18"/>
                <w:szCs w:val="18"/>
                <w:b w:val="1"/>
                <w:bCs w:val="1"/>
                <w:color w:val="auto"/>
                <w:w w:val="90"/>
              </w:rPr>
              <w:t>December 31, 2015</w:t>
            </w:r>
          </w:p>
        </w:tc>
        <w:tc>
          <w:tcPr>
            <w:tcW w:w="1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76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rPr>
              <w:t>2015</w:t>
            </w:r>
          </w:p>
        </w:tc>
        <w:tc>
          <w:tcPr>
            <w:tcW w:w="12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78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60" w:type="dxa"/>
            <w:vAlign w:val="bottom"/>
            <w:gridSpan w:val="3"/>
          </w:tcPr>
          <w:p>
            <w:pPr>
              <w:jc w:val="center"/>
              <w:ind w:right="420"/>
              <w:spacing w:after="0" w:line="191" w:lineRule="exact"/>
              <w:rPr>
                <w:sz w:val="20"/>
                <w:szCs w:val="20"/>
                <w:color w:val="auto"/>
              </w:rPr>
            </w:pPr>
            <w:r>
              <w:rPr>
                <w:rFonts w:ascii="Arial" w:cs="Arial" w:eastAsia="Arial" w:hAnsi="Arial"/>
                <w:sz w:val="18"/>
                <w:szCs w:val="18"/>
                <w:b w:val="1"/>
                <w:bCs w:val="1"/>
                <w:color w:val="auto"/>
                <w:w w:val="87"/>
              </w:rPr>
              <w:t>Average</w:t>
            </w:r>
          </w:p>
        </w:tc>
        <w:tc>
          <w:tcPr>
            <w:tcW w:w="1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78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Unpaid</w:t>
            </w: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9"/>
              </w:rPr>
              <w:t>Related</w:t>
            </w:r>
          </w:p>
        </w:tc>
        <w:tc>
          <w:tcPr>
            <w:tcW w:w="176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3"/>
              </w:rPr>
              <w:t>principal</w:t>
            </w:r>
          </w:p>
        </w:tc>
        <w:tc>
          <w:tcPr>
            <w:tcW w:w="13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9"/>
              </w:rPr>
              <w:t>Interest</w:t>
            </w:r>
          </w:p>
        </w:tc>
      </w:tr>
      <w:tr>
        <w:trPr>
          <w:trHeight w:val="216"/>
        </w:trPr>
        <w:tc>
          <w:tcPr>
            <w:tcW w:w="2780" w:type="dxa"/>
            <w:vAlign w:val="bottom"/>
          </w:tcPr>
          <w:p>
            <w:pPr>
              <w:spacing w:after="0"/>
              <w:rPr>
                <w:sz w:val="18"/>
                <w:szCs w:val="18"/>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Recorded</w:t>
            </w:r>
          </w:p>
        </w:tc>
        <w:tc>
          <w:tcPr>
            <w:tcW w:w="120" w:type="dxa"/>
            <w:vAlign w:val="bottom"/>
          </w:tcPr>
          <w:p>
            <w:pPr>
              <w:spacing w:after="0"/>
              <w:rPr>
                <w:sz w:val="18"/>
                <w:szCs w:val="18"/>
                <w:color w:val="auto"/>
              </w:rPr>
            </w:pPr>
          </w:p>
        </w:tc>
        <w:tc>
          <w:tcPr>
            <w:tcW w:w="16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principal</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allowance</w:t>
            </w:r>
          </w:p>
        </w:tc>
        <w:tc>
          <w:tcPr>
            <w:tcW w:w="1760" w:type="dxa"/>
            <w:vAlign w:val="bottom"/>
            <w:gridSpan w:val="3"/>
          </w:tcPr>
          <w:p>
            <w:pPr>
              <w:jc w:val="center"/>
              <w:ind w:right="420"/>
              <w:spacing w:after="0"/>
              <w:rPr>
                <w:sz w:val="20"/>
                <w:szCs w:val="20"/>
                <w:color w:val="auto"/>
              </w:rPr>
            </w:pPr>
            <w:r>
              <w:rPr>
                <w:rFonts w:ascii="Arial" w:cs="Arial" w:eastAsia="Arial" w:hAnsi="Arial"/>
                <w:sz w:val="18"/>
                <w:szCs w:val="18"/>
                <w:b w:val="1"/>
                <w:bCs w:val="1"/>
                <w:color w:val="auto"/>
                <w:w w:val="91"/>
              </w:rPr>
              <w:t>loan</w:t>
            </w:r>
          </w:p>
        </w:tc>
        <w:tc>
          <w:tcPr>
            <w:tcW w:w="1300" w:type="dxa"/>
            <w:vAlign w:val="bottom"/>
            <w:gridSpan w:val="3"/>
          </w:tcPr>
          <w:p>
            <w:pPr>
              <w:jc w:val="center"/>
              <w:ind w:right="320"/>
              <w:spacing w:after="0"/>
              <w:rPr>
                <w:sz w:val="20"/>
                <w:szCs w:val="20"/>
                <w:color w:val="auto"/>
              </w:rPr>
            </w:pPr>
            <w:r>
              <w:rPr>
                <w:rFonts w:ascii="Arial" w:cs="Arial" w:eastAsia="Arial" w:hAnsi="Arial"/>
                <w:sz w:val="18"/>
                <w:szCs w:val="18"/>
                <w:b w:val="1"/>
                <w:bCs w:val="1"/>
                <w:color w:val="auto"/>
                <w:w w:val="85"/>
              </w:rPr>
              <w:t>income</w:t>
            </w:r>
          </w:p>
        </w:tc>
      </w:tr>
      <w:tr>
        <w:trPr>
          <w:trHeight w:val="234"/>
        </w:trPr>
        <w:tc>
          <w:tcPr>
            <w:tcW w:w="2780" w:type="dxa"/>
            <w:vAlign w:val="bottom"/>
          </w:tcPr>
          <w:p>
            <w:pPr>
              <w:spacing w:after="0"/>
              <w:rPr>
                <w:sz w:val="20"/>
                <w:szCs w:val="20"/>
                <w:color w:val="auto"/>
              </w:rPr>
            </w:pPr>
          </w:p>
        </w:tc>
        <w:tc>
          <w:tcPr>
            <w:tcW w:w="15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investment</w:t>
            </w:r>
          </w:p>
        </w:tc>
        <w:tc>
          <w:tcPr>
            <w:tcW w:w="120" w:type="dxa"/>
            <w:vAlign w:val="bottom"/>
          </w:tcPr>
          <w:p>
            <w:pPr>
              <w:spacing w:after="0"/>
              <w:rPr>
                <w:sz w:val="20"/>
                <w:szCs w:val="20"/>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balance</w:t>
            </w: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Stage 3</w:t>
            </w:r>
          </w:p>
        </w:tc>
        <w:tc>
          <w:tcPr>
            <w:tcW w:w="176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6"/>
              </w:rPr>
              <w:t>balance</w:t>
            </w:r>
          </w:p>
        </w:tc>
        <w:tc>
          <w:tcPr>
            <w:tcW w:w="1300" w:type="dxa"/>
            <w:vAlign w:val="bottom"/>
            <w:gridSpan w:val="3"/>
          </w:tcPr>
          <w:p>
            <w:pPr>
              <w:jc w:val="center"/>
              <w:ind w:right="280"/>
              <w:spacing w:after="0"/>
              <w:rPr>
                <w:sz w:val="20"/>
                <w:szCs w:val="20"/>
                <w:color w:val="auto"/>
              </w:rPr>
            </w:pPr>
            <w:r>
              <w:rPr>
                <w:rFonts w:ascii="Arial" w:cs="Arial" w:eastAsia="Arial" w:hAnsi="Arial"/>
                <w:sz w:val="18"/>
                <w:szCs w:val="18"/>
                <w:b w:val="1"/>
                <w:bCs w:val="1"/>
                <w:color w:val="auto"/>
                <w:w w:val="86"/>
              </w:rPr>
              <w:t>recognized</w:t>
            </w:r>
          </w:p>
        </w:tc>
      </w:tr>
      <w:tr>
        <w:trPr>
          <w:trHeight w:val="210"/>
        </w:trPr>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With an allowance recorded:</w:t>
            </w:r>
          </w:p>
        </w:tc>
        <w:tc>
          <w:tcPr>
            <w:tcW w:w="14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Private corporations</w:t>
            </w:r>
          </w:p>
        </w:tc>
        <w:tc>
          <w:tcPr>
            <w:tcW w:w="1520" w:type="dxa"/>
            <w:vAlign w:val="bottom"/>
            <w:gridSpan w:val="2"/>
          </w:tcPr>
          <w:p>
            <w:pPr>
              <w:jc w:val="right"/>
              <w:ind w:right="100"/>
              <w:spacing w:after="0"/>
              <w:rPr>
                <w:sz w:val="20"/>
                <w:szCs w:val="20"/>
                <w:color w:val="auto"/>
              </w:rPr>
            </w:pPr>
            <w:r>
              <w:rPr>
                <w:rFonts w:ascii="Arial" w:cs="Arial" w:eastAsia="Arial" w:hAnsi="Arial"/>
                <w:sz w:val="18"/>
                <w:szCs w:val="18"/>
                <w:color w:val="auto"/>
              </w:rPr>
              <w:t>51,422</w:t>
            </w:r>
          </w:p>
        </w:tc>
        <w:tc>
          <w:tcPr>
            <w:tcW w:w="1740" w:type="dxa"/>
            <w:vAlign w:val="bottom"/>
            <w:gridSpan w:val="3"/>
          </w:tcPr>
          <w:p>
            <w:pPr>
              <w:jc w:val="right"/>
              <w:ind w:right="220"/>
              <w:spacing w:after="0"/>
              <w:rPr>
                <w:sz w:val="20"/>
                <w:szCs w:val="20"/>
                <w:color w:val="auto"/>
              </w:rPr>
            </w:pPr>
            <w:r>
              <w:rPr>
                <w:rFonts w:ascii="Arial" w:cs="Arial" w:eastAsia="Arial" w:hAnsi="Arial"/>
                <w:sz w:val="18"/>
                <w:szCs w:val="18"/>
                <w:color w:val="auto"/>
              </w:rPr>
              <w:t>4,706</w:t>
            </w:r>
          </w:p>
        </w:tc>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20,703</w:t>
            </w:r>
          </w:p>
        </w:tc>
        <w:tc>
          <w:tcPr>
            <w:tcW w:w="1580" w:type="dxa"/>
            <w:vAlign w:val="bottom"/>
            <w:gridSpan w:val="2"/>
          </w:tcPr>
          <w:p>
            <w:pPr>
              <w:jc w:val="right"/>
              <w:ind w:right="180"/>
              <w:spacing w:after="0"/>
              <w:rPr>
                <w:sz w:val="20"/>
                <w:szCs w:val="20"/>
                <w:color w:val="auto"/>
              </w:rPr>
            </w:pPr>
            <w:r>
              <w:rPr>
                <w:rFonts w:ascii="Arial" w:cs="Arial" w:eastAsia="Arial" w:hAnsi="Arial"/>
                <w:sz w:val="18"/>
                <w:szCs w:val="18"/>
                <w:color w:val="auto"/>
              </w:rPr>
              <w:t>9,946</w:t>
            </w:r>
          </w:p>
        </w:tc>
        <w:tc>
          <w:tcPr>
            <w:tcW w:w="180" w:type="dxa"/>
            <w:vAlign w:val="bottom"/>
          </w:tcPr>
          <w:p>
            <w:pPr>
              <w:spacing w:after="0"/>
              <w:rPr>
                <w:sz w:val="18"/>
                <w:szCs w:val="18"/>
                <w:color w:val="auto"/>
              </w:rPr>
            </w:pP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230</w:t>
            </w:r>
          </w:p>
        </w:tc>
        <w:tc>
          <w:tcPr>
            <w:tcW w:w="80" w:type="dxa"/>
            <w:vAlign w:val="bottom"/>
          </w:tcPr>
          <w:p>
            <w:pPr>
              <w:spacing w:after="0"/>
              <w:rPr>
                <w:sz w:val="18"/>
                <w:szCs w:val="18"/>
                <w:color w:val="auto"/>
              </w:rPr>
            </w:pPr>
          </w:p>
        </w:tc>
      </w:tr>
      <w:tr>
        <w:trPr>
          <w:trHeight w:val="230"/>
        </w:trPr>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Middle-market companies</w:t>
            </w:r>
          </w:p>
        </w:tc>
        <w:tc>
          <w:tcPr>
            <w:tcW w:w="15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907</w:t>
            </w:r>
          </w:p>
        </w:tc>
        <w:tc>
          <w:tcPr>
            <w:tcW w:w="17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907</w:t>
            </w:r>
          </w:p>
        </w:tc>
        <w:tc>
          <w:tcPr>
            <w:tcW w:w="16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448</w:t>
            </w:r>
          </w:p>
        </w:tc>
        <w:tc>
          <w:tcPr>
            <w:tcW w:w="15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7,472</w:t>
            </w:r>
          </w:p>
        </w:tc>
        <w:tc>
          <w:tcPr>
            <w:tcW w:w="18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2780" w:type="dxa"/>
            <w:vAlign w:val="bottom"/>
          </w:tcPr>
          <w:p>
            <w:pPr>
              <w:spacing w:after="0"/>
              <w:rPr>
                <w:sz w:val="20"/>
                <w:szCs w:val="20"/>
                <w:color w:val="auto"/>
              </w:rPr>
            </w:pPr>
            <w:r>
              <w:rPr>
                <w:rFonts w:ascii="Arial" w:cs="Arial" w:eastAsia="Arial" w:hAnsi="Arial"/>
                <w:sz w:val="18"/>
                <w:szCs w:val="18"/>
                <w:color w:val="auto"/>
              </w:rPr>
              <w:t>Total</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52,329</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5,613</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21,151</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17,418</w:t>
            </w:r>
          </w:p>
        </w:tc>
        <w:tc>
          <w:tcPr>
            <w:tcW w:w="180" w:type="dxa"/>
            <w:vAlign w:val="bottom"/>
          </w:tcPr>
          <w:p>
            <w:pPr>
              <w:spacing w:after="0"/>
              <w:rPr>
                <w:sz w:val="19"/>
                <w:szCs w:val="19"/>
                <w:color w:val="auto"/>
              </w:rPr>
            </w:pPr>
          </w:p>
        </w:tc>
        <w:tc>
          <w:tcPr>
            <w:tcW w:w="180" w:type="dxa"/>
            <w:vAlign w:val="bottom"/>
            <w:tcBorders>
              <w:top w:val="single" w:sz="8" w:color="auto"/>
              <w:bottom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78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right="20"/>
        <w:spacing w:after="0" w:line="277" w:lineRule="auto"/>
        <w:rPr>
          <w:sz w:val="20"/>
          <w:szCs w:val="20"/>
          <w:color w:val="auto"/>
        </w:rPr>
      </w:pPr>
      <w:r>
        <w:rPr>
          <w:rFonts w:ascii="Arial" w:cs="Arial" w:eastAsia="Arial" w:hAnsi="Arial"/>
          <w:sz w:val="18"/>
          <w:szCs w:val="18"/>
          <w:color w:val="auto"/>
        </w:rPr>
        <w:t>The following is a summary of information of interest amounts recognized using the effective interest rate method on the net carrying amount for those financial assets in Stage 3:</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Interest revenue calculated on the net carrying amount(net of credit allowance)</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2680" w:type="dxa"/>
            <w:vAlign w:val="bottom"/>
            <w:gridSpan w:val="4"/>
          </w:tcPr>
          <w:p>
            <w:pPr>
              <w:jc w:val="center"/>
              <w:ind w:left="250"/>
              <w:spacing w:after="0"/>
              <w:rPr>
                <w:sz w:val="20"/>
                <w:szCs w:val="20"/>
                <w:color w:val="auto"/>
              </w:rPr>
            </w:pPr>
            <w:r>
              <w:rPr>
                <w:rFonts w:ascii="Arial" w:cs="Arial" w:eastAsia="Arial" w:hAnsi="Arial"/>
                <w:sz w:val="18"/>
                <w:szCs w:val="18"/>
                <w:b w:val="1"/>
                <w:bCs w:val="1"/>
                <w:color w:val="auto"/>
                <w:w w:val="89"/>
              </w:rPr>
              <w:t>Three months ended</w:t>
            </w:r>
          </w:p>
        </w:tc>
        <w:tc>
          <w:tcPr>
            <w:tcW w:w="3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980" w:type="dxa"/>
            <w:vAlign w:val="bottom"/>
            <w:gridSpan w:val="4"/>
          </w:tcPr>
          <w:p>
            <w:pPr>
              <w:jc w:val="center"/>
              <w:spacing w:after="0"/>
              <w:rPr>
                <w:sz w:val="20"/>
                <w:szCs w:val="20"/>
                <w:color w:val="auto"/>
              </w:rPr>
            </w:pPr>
            <w:r>
              <w:rPr>
                <w:rFonts w:ascii="Arial" w:cs="Arial" w:eastAsia="Arial" w:hAnsi="Arial"/>
                <w:sz w:val="18"/>
                <w:szCs w:val="18"/>
                <w:b w:val="1"/>
                <w:bCs w:val="1"/>
                <w:color w:val="auto"/>
                <w:w w:val="88"/>
              </w:rPr>
              <w:t>Nine months ended</w:t>
            </w:r>
          </w:p>
        </w:tc>
      </w:tr>
      <w:tr>
        <w:trPr>
          <w:trHeight w:val="234"/>
        </w:trPr>
        <w:tc>
          <w:tcPr>
            <w:tcW w:w="920" w:type="dxa"/>
            <w:vAlign w:val="bottom"/>
            <w:tcBorders>
              <w:bottom w:val="single" w:sz="8" w:color="auto"/>
            </w:tcBorders>
          </w:tcPr>
          <w:p>
            <w:pPr>
              <w:spacing w:after="0"/>
              <w:rPr>
                <w:sz w:val="20"/>
                <w:szCs w:val="20"/>
                <w:color w:val="auto"/>
              </w:rPr>
            </w:pPr>
          </w:p>
        </w:tc>
        <w:tc>
          <w:tcPr>
            <w:tcW w:w="1760" w:type="dxa"/>
            <w:vAlign w:val="bottom"/>
            <w:tcBorders>
              <w:bottom w:val="single" w:sz="8" w:color="auto"/>
            </w:tcBorders>
            <w:gridSpan w:val="3"/>
          </w:tcPr>
          <w:p>
            <w:pPr>
              <w:jc w:val="center"/>
              <w:ind w:right="490"/>
              <w:spacing w:after="0"/>
              <w:rPr>
                <w:sz w:val="20"/>
                <w:szCs w:val="20"/>
                <w:color w:val="auto"/>
              </w:rPr>
            </w:pPr>
            <w:r>
              <w:rPr>
                <w:rFonts w:ascii="Arial" w:cs="Arial" w:eastAsia="Arial" w:hAnsi="Arial"/>
                <w:sz w:val="18"/>
                <w:szCs w:val="18"/>
                <w:b w:val="1"/>
                <w:bCs w:val="1"/>
                <w:color w:val="auto"/>
                <w:w w:val="89"/>
              </w:rPr>
              <w:t>September 30,</w:t>
            </w:r>
          </w:p>
        </w:tc>
        <w:tc>
          <w:tcPr>
            <w:tcW w:w="34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080" w:type="dxa"/>
            <w:vAlign w:val="bottom"/>
            <w:tcBorders>
              <w:bottom w:val="single" w:sz="8" w:color="auto"/>
            </w:tcBorders>
            <w:gridSpan w:val="3"/>
          </w:tcPr>
          <w:p>
            <w:pPr>
              <w:jc w:val="center"/>
              <w:ind w:left="810"/>
              <w:spacing w:after="0"/>
              <w:rPr>
                <w:sz w:val="20"/>
                <w:szCs w:val="20"/>
                <w:color w:val="auto"/>
              </w:rPr>
            </w:pPr>
            <w:r>
              <w:rPr>
                <w:rFonts w:ascii="Arial" w:cs="Arial" w:eastAsia="Arial" w:hAnsi="Arial"/>
                <w:sz w:val="18"/>
                <w:szCs w:val="18"/>
                <w:b w:val="1"/>
                <w:bCs w:val="1"/>
                <w:color w:val="auto"/>
                <w:w w:val="89"/>
              </w:rPr>
              <w:t>September 30,</w:t>
            </w:r>
          </w:p>
        </w:tc>
        <w:tc>
          <w:tcPr>
            <w:tcW w:w="900" w:type="dxa"/>
            <w:vAlign w:val="bottom"/>
            <w:tcBorders>
              <w:bottom w:val="single" w:sz="8" w:color="auto"/>
            </w:tcBorders>
          </w:tcPr>
          <w:p>
            <w:pPr>
              <w:spacing w:after="0"/>
              <w:rPr>
                <w:sz w:val="20"/>
                <w:szCs w:val="20"/>
                <w:color w:val="auto"/>
              </w:rPr>
            </w:pPr>
          </w:p>
        </w:tc>
      </w:tr>
      <w:tr>
        <w:trPr>
          <w:trHeight w:val="223"/>
        </w:trPr>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2016</w:t>
            </w:r>
          </w:p>
        </w:tc>
        <w:tc>
          <w:tcPr>
            <w:tcW w:w="48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60" w:type="dxa"/>
            <w:vAlign w:val="bottom"/>
            <w:tcBorders>
              <w:bottom w:val="single" w:sz="8" w:color="auto"/>
            </w:tcBorders>
          </w:tcPr>
          <w:p>
            <w:pPr>
              <w:jc w:val="right"/>
              <w:ind w:right="90"/>
              <w:spacing w:after="0"/>
              <w:rPr>
                <w:sz w:val="20"/>
                <w:szCs w:val="20"/>
                <w:color w:val="auto"/>
              </w:rPr>
            </w:pPr>
            <w:r>
              <w:rPr>
                <w:rFonts w:ascii="Arial" w:cs="Arial" w:eastAsia="Arial" w:hAnsi="Arial"/>
                <w:sz w:val="18"/>
                <w:szCs w:val="18"/>
                <w:b w:val="1"/>
                <w:bCs w:val="1"/>
                <w:color w:val="auto"/>
              </w:rPr>
              <w:t>2015</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480" w:type="dxa"/>
            <w:vAlign w:val="bottom"/>
            <w:tcBorders>
              <w:bottom w:val="single" w:sz="8" w:color="auto"/>
            </w:tcBorders>
          </w:tcPr>
          <w:p>
            <w:pPr>
              <w:spacing w:after="0"/>
              <w:rPr>
                <w:sz w:val="19"/>
                <w:szCs w:val="19"/>
                <w:color w:val="auto"/>
              </w:rPr>
            </w:pPr>
          </w:p>
        </w:tc>
        <w:tc>
          <w:tcPr>
            <w:tcW w:w="90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w w:val="94"/>
              </w:rPr>
              <w:t>2015</w:t>
            </w:r>
          </w:p>
        </w:tc>
      </w:tr>
      <w:tr>
        <w:trPr>
          <w:trHeight w:val="439"/>
        </w:trPr>
        <w:tc>
          <w:tcPr>
            <w:tcW w:w="920" w:type="dxa"/>
            <w:vAlign w:val="bottom"/>
          </w:tcPr>
          <w:p>
            <w:pPr>
              <w:spacing w:after="0"/>
              <w:rPr>
                <w:sz w:val="24"/>
                <w:szCs w:val="24"/>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720</w:t>
            </w:r>
          </w:p>
        </w:tc>
        <w:tc>
          <w:tcPr>
            <w:tcW w:w="1060" w:type="dxa"/>
            <w:vAlign w:val="bottom"/>
          </w:tcPr>
          <w:p>
            <w:pPr>
              <w:spacing w:after="0"/>
              <w:rPr>
                <w:sz w:val="24"/>
                <w:szCs w:val="24"/>
                <w:color w:val="auto"/>
              </w:rPr>
            </w:pPr>
          </w:p>
        </w:tc>
        <w:tc>
          <w:tcPr>
            <w:tcW w:w="560" w:type="dxa"/>
            <w:vAlign w:val="bottom"/>
            <w:gridSpan w:val="2"/>
          </w:tcPr>
          <w:p>
            <w:pPr>
              <w:jc w:val="right"/>
              <w:ind w:right="220"/>
              <w:spacing w:after="0"/>
              <w:rPr>
                <w:sz w:val="20"/>
                <w:szCs w:val="20"/>
                <w:color w:val="auto"/>
              </w:rPr>
            </w:pPr>
            <w:r>
              <w:rPr>
                <w:rFonts w:ascii="Arial" w:cs="Arial" w:eastAsia="Arial" w:hAnsi="Arial"/>
                <w:sz w:val="18"/>
                <w:szCs w:val="18"/>
                <w:color w:val="auto"/>
              </w:rPr>
              <w:t>75</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1,561</w:t>
            </w:r>
          </w:p>
        </w:tc>
        <w:tc>
          <w:tcPr>
            <w:tcW w:w="480" w:type="dxa"/>
            <w:vAlign w:val="bottom"/>
          </w:tcPr>
          <w:p>
            <w:pPr>
              <w:spacing w:after="0"/>
              <w:rPr>
                <w:sz w:val="24"/>
                <w:szCs w:val="24"/>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215</w:t>
            </w:r>
          </w:p>
        </w:tc>
      </w:tr>
      <w:tr>
        <w:trPr>
          <w:trHeight w:val="20"/>
        </w:trPr>
        <w:tc>
          <w:tcPr>
            <w:tcW w:w="92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90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-2797175</wp:posOffset>
            </wp:positionH>
            <wp:positionV relativeFrom="paragraph">
              <wp:posOffset>-316865</wp:posOffset>
            </wp:positionV>
            <wp:extent cx="6809105" cy="3003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6809105" cy="3003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4680" w:space="220"/>
            <w:col w:w="6520"/>
          </w:cols>
          <w:pgMar w:left="240" w:top="904" w:right="239" w:bottom="1440" w:gutter="0" w:footer="0" w:header="0"/>
          <w:type w:val="continuous"/>
        </w:sectPr>
      </w:pPr>
    </w:p>
    <w:p>
      <w:pPr>
        <w:spacing w:after="0" w:line="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following table presents an aging analysis of the loan portfolio:</w:t>
      </w:r>
    </w:p>
    <w:p>
      <w:pPr>
        <w:spacing w:after="0" w:line="221"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2800" w:type="dxa"/>
            <w:vAlign w:val="bottom"/>
            <w:tcBorders>
              <w:top w:val="single" w:sz="8" w:color="auto"/>
            </w:tcBorders>
          </w:tcPr>
          <w:p>
            <w:pPr>
              <w:spacing w:after="0"/>
              <w:rPr>
                <w:sz w:val="16"/>
                <w:szCs w:val="16"/>
                <w:color w:val="auto"/>
              </w:rPr>
            </w:pPr>
          </w:p>
        </w:tc>
        <w:tc>
          <w:tcPr>
            <w:tcW w:w="700" w:type="dxa"/>
            <w:vAlign w:val="bottom"/>
            <w:tcBorders>
              <w:top w:val="single" w:sz="8" w:color="auto"/>
            </w:tcBorders>
          </w:tcPr>
          <w:p>
            <w:pPr>
              <w:jc w:val="right"/>
              <w:ind w:right="10"/>
              <w:spacing w:after="0" w:line="191" w:lineRule="exact"/>
              <w:rPr>
                <w:sz w:val="20"/>
                <w:szCs w:val="20"/>
                <w:color w:val="auto"/>
              </w:rPr>
            </w:pPr>
            <w:r>
              <w:rPr>
                <w:rFonts w:ascii="Arial" w:cs="Arial" w:eastAsia="Arial" w:hAnsi="Arial"/>
                <w:sz w:val="18"/>
                <w:szCs w:val="18"/>
                <w:b w:val="1"/>
                <w:bCs w:val="1"/>
                <w:color w:val="auto"/>
              </w:rPr>
              <w:t>91-120</w:t>
            </w: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8"/>
                <w:szCs w:val="18"/>
                <w:b w:val="1"/>
                <w:bCs w:val="1"/>
                <w:color w:val="auto"/>
                <w:w w:val="96"/>
              </w:rPr>
              <w:t>121-150</w:t>
            </w:r>
          </w:p>
        </w:tc>
        <w:tc>
          <w:tcPr>
            <w:tcW w:w="18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jc w:val="right"/>
              <w:spacing w:after="0" w:line="191" w:lineRule="exact"/>
              <w:rPr>
                <w:sz w:val="20"/>
                <w:szCs w:val="20"/>
                <w:color w:val="auto"/>
              </w:rPr>
            </w:pPr>
            <w:r>
              <w:rPr>
                <w:rFonts w:ascii="Arial" w:cs="Arial" w:eastAsia="Arial" w:hAnsi="Arial"/>
                <w:sz w:val="18"/>
                <w:szCs w:val="18"/>
                <w:b w:val="1"/>
                <w:bCs w:val="1"/>
                <w:color w:val="auto"/>
                <w:w w:val="96"/>
              </w:rPr>
              <w:t>151-180</w:t>
            </w:r>
          </w:p>
        </w:tc>
        <w:tc>
          <w:tcPr>
            <w:tcW w:w="18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Greater</w:t>
            </w:r>
          </w:p>
        </w:tc>
        <w:tc>
          <w:tcPr>
            <w:tcW w:w="9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Total</w:t>
            </w:r>
          </w:p>
        </w:tc>
        <w:tc>
          <w:tcPr>
            <w:tcW w:w="8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200" w:type="dxa"/>
            <w:vAlign w:val="bottom"/>
          </w:tcPr>
          <w:p>
            <w:pPr>
              <w:spacing w:after="0"/>
              <w:rPr>
                <w:sz w:val="16"/>
                <w:szCs w:val="16"/>
                <w:color w:val="auto"/>
              </w:rPr>
            </w:pPr>
          </w:p>
        </w:tc>
      </w:tr>
      <w:tr>
        <w:trPr>
          <w:trHeight w:val="234"/>
        </w:trPr>
        <w:tc>
          <w:tcPr>
            <w:tcW w:w="500" w:type="dxa"/>
            <w:vAlign w:val="bottom"/>
          </w:tcPr>
          <w:p>
            <w:pPr>
              <w:spacing w:after="0"/>
              <w:rPr>
                <w:sz w:val="20"/>
                <w:szCs w:val="20"/>
                <w:color w:val="auto"/>
              </w:rPr>
            </w:pPr>
          </w:p>
        </w:tc>
        <w:tc>
          <w:tcPr>
            <w:tcW w:w="2800" w:type="dxa"/>
            <w:vAlign w:val="bottom"/>
          </w:tcPr>
          <w:p>
            <w:pPr>
              <w:spacing w:after="0"/>
              <w:rPr>
                <w:sz w:val="20"/>
                <w:szCs w:val="20"/>
                <w:color w:val="auto"/>
              </w:rPr>
            </w:pPr>
          </w:p>
        </w:tc>
        <w:tc>
          <w:tcPr>
            <w:tcW w:w="9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days</w:t>
            </w:r>
          </w:p>
        </w:tc>
        <w:tc>
          <w:tcPr>
            <w:tcW w:w="12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than 180 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Past due</w:t>
            </w:r>
          </w:p>
        </w:tc>
        <w:tc>
          <w:tcPr>
            <w:tcW w:w="1040" w:type="dxa"/>
            <w:vAlign w:val="bottom"/>
            <w:gridSpan w:val="2"/>
          </w:tcPr>
          <w:p>
            <w:pPr>
              <w:spacing w:after="0"/>
              <w:rPr>
                <w:sz w:val="20"/>
                <w:szCs w:val="20"/>
                <w:color w:val="auto"/>
              </w:rPr>
            </w:pPr>
            <w:r>
              <w:rPr>
                <w:rFonts w:ascii="Arial" w:cs="Arial" w:eastAsia="Arial" w:hAnsi="Arial"/>
                <w:sz w:val="18"/>
                <w:szCs w:val="18"/>
                <w:b w:val="1"/>
                <w:bCs w:val="1"/>
                <w:color w:val="auto"/>
              </w:rPr>
              <w:t>Delinquent</w:t>
            </w:r>
          </w:p>
        </w:tc>
        <w:tc>
          <w:tcPr>
            <w:tcW w:w="1020" w:type="dxa"/>
            <w:vAlign w:val="bottom"/>
            <w:gridSpan w:val="2"/>
          </w:tcPr>
          <w:p>
            <w:pPr>
              <w:ind w:left="100"/>
              <w:spacing w:after="0"/>
              <w:rPr>
                <w:sz w:val="20"/>
                <w:szCs w:val="20"/>
                <w:color w:val="auto"/>
              </w:rPr>
            </w:pPr>
            <w:r>
              <w:rPr>
                <w:rFonts w:ascii="Arial" w:cs="Arial" w:eastAsia="Arial" w:hAnsi="Arial"/>
                <w:sz w:val="18"/>
                <w:szCs w:val="18"/>
                <w:b w:val="1"/>
                <w:bCs w:val="1"/>
                <w:color w:val="auto"/>
              </w:rPr>
              <w:t>Current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7"/>
              </w:rPr>
              <w:t>Total Loans</w:t>
            </w:r>
          </w:p>
        </w:tc>
        <w:tc>
          <w:tcPr>
            <w:tcW w:w="200" w:type="dxa"/>
            <w:vAlign w:val="bottom"/>
          </w:tcPr>
          <w:p>
            <w:pPr>
              <w:spacing w:after="0"/>
              <w:rPr>
                <w:sz w:val="20"/>
                <w:szCs w:val="20"/>
                <w:color w:val="auto"/>
              </w:rPr>
            </w:pPr>
          </w:p>
        </w:tc>
      </w:tr>
      <w:tr>
        <w:trPr>
          <w:trHeight w:val="210"/>
        </w:trPr>
        <w:tc>
          <w:tcPr>
            <w:tcW w:w="500" w:type="dxa"/>
            <w:vAlign w:val="bottom"/>
          </w:tcPr>
          <w:p>
            <w:pPr>
              <w:spacing w:after="0"/>
              <w:rPr>
                <w:sz w:val="18"/>
                <w:szCs w:val="18"/>
                <w:color w:val="auto"/>
              </w:rPr>
            </w:pPr>
          </w:p>
        </w:tc>
        <w:tc>
          <w:tcPr>
            <w:tcW w:w="2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2,449</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1,502</w:t>
            </w:r>
          </w:p>
        </w:tc>
        <w:tc>
          <w:tcPr>
            <w:tcW w:w="18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32,813</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36,764</w:t>
            </w:r>
          </w:p>
        </w:tc>
        <w:tc>
          <w:tcPr>
            <w:tcW w:w="1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4,000</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ind w:left="120"/>
              <w:spacing w:after="0"/>
              <w:rPr>
                <w:sz w:val="20"/>
                <w:szCs w:val="20"/>
                <w:color w:val="auto"/>
              </w:rPr>
            </w:pPr>
            <w:r>
              <w:rPr>
                <w:rFonts w:ascii="Arial" w:cs="Arial" w:eastAsia="Arial" w:hAnsi="Arial"/>
                <w:sz w:val="18"/>
                <w:szCs w:val="18"/>
                <w:color w:val="auto"/>
                <w:w w:val="84"/>
              </w:rPr>
              <w:t>3,805,116</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3,845,880</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280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9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9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20" w:type="dxa"/>
            <w:vAlign w:val="bottom"/>
            <w:gridSpan w:val="2"/>
          </w:tcPr>
          <w:p>
            <w:pPr>
              <w:ind w:left="100"/>
              <w:spacing w:after="0"/>
              <w:rPr>
                <w:sz w:val="20"/>
                <w:szCs w:val="20"/>
                <w:color w:val="auto"/>
              </w:rPr>
            </w:pPr>
            <w:r>
              <w:rPr>
                <w:rFonts w:ascii="Arial" w:cs="Arial" w:eastAsia="Arial" w:hAnsi="Arial"/>
                <w:sz w:val="18"/>
                <w:szCs w:val="18"/>
                <w:color w:val="auto"/>
              </w:rPr>
              <w:t>2,225,136</w:t>
            </w:r>
          </w:p>
        </w:tc>
        <w:tc>
          <w:tcPr>
            <w:tcW w:w="900" w:type="dxa"/>
            <w:vAlign w:val="bottom"/>
          </w:tcPr>
          <w:p>
            <w:pPr>
              <w:jc w:val="right"/>
              <w:spacing w:after="0"/>
              <w:rPr>
                <w:sz w:val="20"/>
                <w:szCs w:val="20"/>
                <w:color w:val="auto"/>
              </w:rPr>
            </w:pPr>
            <w:r>
              <w:rPr>
                <w:rFonts w:ascii="Arial" w:cs="Arial" w:eastAsia="Arial" w:hAnsi="Arial"/>
                <w:sz w:val="18"/>
                <w:szCs w:val="18"/>
                <w:color w:val="auto"/>
              </w:rPr>
              <w:t>2,225,136</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280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9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35,000</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35,000</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287,366</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322,366</w:t>
            </w: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2800" w:type="dxa"/>
            <w:vAlign w:val="bottom"/>
          </w:tcPr>
          <w:p>
            <w:pPr>
              <w:spacing w:after="0"/>
              <w:rPr>
                <w:sz w:val="20"/>
                <w:szCs w:val="20"/>
                <w:color w:val="auto"/>
              </w:rPr>
            </w:pPr>
            <w:r>
              <w:rPr>
                <w:rFonts w:ascii="Arial" w:cs="Arial" w:eastAsia="Arial" w:hAnsi="Arial"/>
                <w:sz w:val="18"/>
                <w:szCs w:val="18"/>
                <w:color w:val="auto"/>
              </w:rPr>
              <w:t>Total</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2,449</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1,502</w:t>
            </w:r>
          </w:p>
        </w:tc>
        <w:tc>
          <w:tcPr>
            <w:tcW w:w="18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67,813</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71,764</w:t>
            </w:r>
          </w:p>
        </w:tc>
        <w:tc>
          <w:tcPr>
            <w:tcW w:w="18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4,000</w:t>
            </w:r>
          </w:p>
        </w:tc>
        <w:tc>
          <w:tcPr>
            <w:tcW w:w="180" w:type="dxa"/>
            <w:vAlign w:val="bottom"/>
          </w:tcPr>
          <w:p>
            <w:pPr>
              <w:spacing w:after="0"/>
              <w:rPr>
                <w:sz w:val="19"/>
                <w:szCs w:val="19"/>
                <w:color w:val="auto"/>
              </w:rPr>
            </w:pPr>
          </w:p>
        </w:tc>
        <w:tc>
          <w:tcPr>
            <w:tcW w:w="82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b w:val="1"/>
                <w:bCs w:val="1"/>
                <w:color w:val="auto"/>
                <w:w w:val="87"/>
              </w:rPr>
              <w:t>6,317,618</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6,393,382</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80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gridSpan w:val="2"/>
          </w:tcPr>
          <w:p>
            <w:pPr>
              <w:jc w:val="right"/>
              <w:ind w:right="160"/>
              <w:spacing w:after="0"/>
              <w:rPr>
                <w:sz w:val="20"/>
                <w:szCs w:val="20"/>
                <w:color w:val="auto"/>
              </w:rPr>
            </w:pPr>
            <w:r>
              <w:rPr>
                <w:rFonts w:ascii="Arial" w:cs="Arial" w:eastAsia="Arial" w:hAnsi="Arial"/>
                <w:sz w:val="18"/>
                <w:szCs w:val="18"/>
                <w:color w:val="auto"/>
              </w:rPr>
              <w:t>24</w:t>
            </w: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type w:val="continuous"/>
        </w:sectPr>
      </w:pPr>
    </w:p>
    <w:bookmarkStart w:id="26" w:name="page27"/>
    <w:bookmarkEnd w:id="2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4.6   Loans – at amortized cost (continued)</w:t>
      </w:r>
    </w:p>
    <w:p>
      <w:pPr>
        <w:spacing w:after="0" w:line="225" w:lineRule="exact"/>
        <w:rPr>
          <w:sz w:val="20"/>
          <w:szCs w:val="20"/>
          <w:color w:val="auto"/>
        </w:rPr>
      </w:pPr>
    </w:p>
    <w:p>
      <w:pPr>
        <w:jc w:val="center"/>
        <w:ind w:left="300"/>
        <w:spacing w:after="0"/>
        <w:rPr>
          <w:sz w:val="20"/>
          <w:szCs w:val="20"/>
          <w:color w:val="auto"/>
        </w:rPr>
      </w:pPr>
      <w:r>
        <w:rPr>
          <w:rFonts w:ascii="Arial" w:cs="Arial" w:eastAsia="Arial" w:hAnsi="Arial"/>
          <w:sz w:val="18"/>
          <w:szCs w:val="18"/>
          <w:b w:val="1"/>
          <w:bCs w:val="1"/>
          <w:color w:val="auto"/>
        </w:rPr>
        <w:t>December 31, 2015</w:t>
      </w:r>
    </w:p>
    <w:p>
      <w:pPr>
        <w:spacing w:after="0" w:line="27" w:lineRule="exact"/>
        <w:rPr>
          <w:sz w:val="20"/>
          <w:szCs w:val="20"/>
          <w:color w:val="auto"/>
        </w:rPr>
      </w:pPr>
    </w:p>
    <w:tbl>
      <w:tblPr>
        <w:tblLayout w:type="fixed"/>
        <w:tblInd w:w="500" w:type="dxa"/>
        <w:tblCellMar>
          <w:top w:w="0" w:type="dxa"/>
          <w:left w:w="0" w:type="dxa"/>
          <w:bottom w:w="0" w:type="dxa"/>
          <w:right w:w="0" w:type="dxa"/>
        </w:tblCellMar>
      </w:tblPr>
      <w:tr>
        <w:trPr>
          <w:trHeight w:val="191"/>
        </w:trPr>
        <w:tc>
          <w:tcPr>
            <w:tcW w:w="3080" w:type="dxa"/>
            <w:vAlign w:val="bottom"/>
            <w:tcBorders>
              <w:top w:val="single" w:sz="8" w:color="auto"/>
            </w:tcBorders>
          </w:tcPr>
          <w:p>
            <w:pPr>
              <w:spacing w:after="0"/>
              <w:rPr>
                <w:sz w:val="16"/>
                <w:szCs w:val="16"/>
                <w:color w:val="auto"/>
              </w:rPr>
            </w:pPr>
          </w:p>
        </w:tc>
        <w:tc>
          <w:tcPr>
            <w:tcW w:w="64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72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6"/>
              </w:rPr>
              <w:t>Greater</w:t>
            </w:r>
          </w:p>
        </w:tc>
        <w:tc>
          <w:tcPr>
            <w:tcW w:w="74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8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r>
      <w:tr>
        <w:trPr>
          <w:trHeight w:val="216"/>
        </w:trPr>
        <w:tc>
          <w:tcPr>
            <w:tcW w:w="3720" w:type="dxa"/>
            <w:vAlign w:val="bottom"/>
            <w:gridSpan w:val="2"/>
          </w:tcPr>
          <w:p>
            <w:pPr>
              <w:ind w:left="3180"/>
              <w:spacing w:after="0"/>
              <w:rPr>
                <w:sz w:val="20"/>
                <w:szCs w:val="20"/>
                <w:color w:val="auto"/>
              </w:rPr>
            </w:pPr>
            <w:r>
              <w:rPr>
                <w:rFonts w:ascii="Arial" w:cs="Arial" w:eastAsia="Arial" w:hAnsi="Arial"/>
                <w:sz w:val="18"/>
                <w:szCs w:val="18"/>
                <w:b w:val="1"/>
                <w:bCs w:val="1"/>
                <w:color w:val="auto"/>
                <w:w w:val="92"/>
              </w:rPr>
              <w:t>91-120</w:t>
            </w: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121-150</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b w:val="1"/>
                <w:bCs w:val="1"/>
                <w:color w:val="auto"/>
                <w:w w:val="96"/>
              </w:rPr>
              <w:t>151-180</w:t>
            </w:r>
          </w:p>
        </w:tc>
        <w:tc>
          <w:tcPr>
            <w:tcW w:w="180" w:type="dxa"/>
            <w:vAlign w:val="bottom"/>
          </w:tcPr>
          <w:p>
            <w:pPr>
              <w:spacing w:after="0"/>
              <w:rPr>
                <w:sz w:val="18"/>
                <w:szCs w:val="18"/>
                <w:color w:val="auto"/>
              </w:rPr>
            </w:pP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than 180</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Total</w:t>
            </w:r>
          </w:p>
        </w:tc>
        <w:tc>
          <w:tcPr>
            <w:tcW w:w="8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3080" w:type="dxa"/>
            <w:vAlign w:val="bottom"/>
          </w:tcPr>
          <w:p>
            <w:pPr>
              <w:spacing w:after="0"/>
              <w:rPr>
                <w:sz w:val="20"/>
                <w:szCs w:val="20"/>
                <w:color w:val="auto"/>
              </w:rPr>
            </w:pPr>
          </w:p>
        </w:tc>
        <w:tc>
          <w:tcPr>
            <w:tcW w:w="640" w:type="dxa"/>
            <w:vAlign w:val="bottom"/>
          </w:tcPr>
          <w:p>
            <w:pPr>
              <w:ind w:left="200"/>
              <w:spacing w:after="0"/>
              <w:rPr>
                <w:sz w:val="20"/>
                <w:szCs w:val="20"/>
                <w:color w:val="auto"/>
              </w:rPr>
            </w:pPr>
            <w:r>
              <w:rPr>
                <w:rFonts w:ascii="Arial" w:cs="Arial" w:eastAsia="Arial" w:hAnsi="Arial"/>
                <w:sz w:val="18"/>
                <w:szCs w:val="18"/>
                <w:b w:val="1"/>
                <w:bCs w:val="1"/>
                <w:color w:val="auto"/>
              </w:rPr>
              <w:t>days</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00" w:type="dxa"/>
            <w:vAlign w:val="bottom"/>
            <w:gridSpan w:val="2"/>
          </w:tcPr>
          <w:p>
            <w:pPr>
              <w:ind w:left="200"/>
              <w:spacing w:after="0"/>
              <w:rPr>
                <w:sz w:val="20"/>
                <w:szCs w:val="20"/>
                <w:color w:val="auto"/>
              </w:rPr>
            </w:pPr>
            <w:r>
              <w:rPr>
                <w:rFonts w:ascii="Arial" w:cs="Arial" w:eastAsia="Arial" w:hAnsi="Arial"/>
                <w:sz w:val="18"/>
                <w:szCs w:val="18"/>
                <w:b w:val="1"/>
                <w:bCs w:val="1"/>
                <w:color w:val="auto"/>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2"/>
              </w:rPr>
              <w:t>days</w:t>
            </w:r>
          </w:p>
        </w:tc>
        <w:tc>
          <w:tcPr>
            <w:tcW w:w="9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Past due</w:t>
            </w:r>
          </w:p>
        </w:tc>
        <w:tc>
          <w:tcPr>
            <w:tcW w:w="10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0"/>
              </w:rPr>
              <w:t>Delinquent</w:t>
            </w:r>
          </w:p>
        </w:tc>
        <w:tc>
          <w:tcPr>
            <w:tcW w:w="1020" w:type="dxa"/>
            <w:vAlign w:val="bottom"/>
            <w:gridSpan w:val="2"/>
          </w:tcPr>
          <w:p>
            <w:pPr>
              <w:ind w:left="100"/>
              <w:spacing w:after="0"/>
              <w:rPr>
                <w:sz w:val="20"/>
                <w:szCs w:val="20"/>
                <w:color w:val="auto"/>
              </w:rPr>
            </w:pPr>
            <w:r>
              <w:rPr>
                <w:rFonts w:ascii="Arial" w:cs="Arial" w:eastAsia="Arial" w:hAnsi="Arial"/>
                <w:sz w:val="18"/>
                <w:szCs w:val="18"/>
                <w:b w:val="1"/>
                <w:bCs w:val="1"/>
                <w:color w:val="auto"/>
              </w:rPr>
              <w:t>Current</w:t>
            </w:r>
          </w:p>
        </w:tc>
        <w:tc>
          <w:tcPr>
            <w:tcW w:w="10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w w:val="87"/>
              </w:rPr>
              <w:t>Total Loans</w:t>
            </w:r>
          </w:p>
        </w:tc>
      </w:tr>
      <w:tr>
        <w:trPr>
          <w:trHeight w:val="210"/>
        </w:trPr>
        <w:tc>
          <w:tcPr>
            <w:tcW w:w="3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6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4,706</w:t>
            </w:r>
          </w:p>
        </w:tc>
        <w:tc>
          <w:tcPr>
            <w:tcW w:w="1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ind w:left="120"/>
              <w:spacing w:after="0"/>
              <w:rPr>
                <w:sz w:val="20"/>
                <w:szCs w:val="20"/>
                <w:color w:val="auto"/>
              </w:rPr>
            </w:pPr>
            <w:r>
              <w:rPr>
                <w:rFonts w:ascii="Arial" w:cs="Arial" w:eastAsia="Arial" w:hAnsi="Arial"/>
                <w:sz w:val="18"/>
                <w:szCs w:val="18"/>
                <w:color w:val="auto"/>
                <w:w w:val="84"/>
              </w:rPr>
              <w:t>3,711,659</w:t>
            </w:r>
          </w:p>
        </w:tc>
        <w:tc>
          <w:tcPr>
            <w:tcW w:w="20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3,716,365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372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280" w:type="dxa"/>
            <w:vAlign w:val="bottom"/>
            <w:gridSpan w:val="2"/>
          </w:tcPr>
          <w:p>
            <w:pPr>
              <w:jc w:val="right"/>
              <w:ind w:right="200"/>
              <w:spacing w:after="0"/>
              <w:rPr>
                <w:sz w:val="20"/>
                <w:szCs w:val="20"/>
                <w:color w:val="auto"/>
              </w:rPr>
            </w:pPr>
            <w:r>
              <w:rPr>
                <w:rFonts w:ascii="Arial" w:cs="Arial" w:eastAsia="Arial" w:hAnsi="Arial"/>
                <w:sz w:val="18"/>
                <w:szCs w:val="18"/>
                <w:color w:val="auto"/>
                <w:w w:val="99"/>
              </w:rPr>
              <w:t>-</w:t>
            </w: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8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020" w:type="dxa"/>
            <w:vAlign w:val="bottom"/>
            <w:gridSpan w:val="2"/>
          </w:tcPr>
          <w:p>
            <w:pPr>
              <w:ind w:left="100"/>
              <w:spacing w:after="0"/>
              <w:rPr>
                <w:sz w:val="20"/>
                <w:szCs w:val="20"/>
                <w:color w:val="auto"/>
              </w:rPr>
            </w:pPr>
            <w:r>
              <w:rPr>
                <w:rFonts w:ascii="Arial" w:cs="Arial" w:eastAsia="Arial" w:hAnsi="Arial"/>
                <w:sz w:val="18"/>
                <w:szCs w:val="18"/>
                <w:color w:val="auto"/>
              </w:rPr>
              <w:t>2,587,637</w:t>
            </w:r>
          </w:p>
        </w:tc>
        <w:tc>
          <w:tcPr>
            <w:tcW w:w="900" w:type="dxa"/>
            <w:vAlign w:val="bottom"/>
          </w:tcPr>
          <w:p>
            <w:pPr>
              <w:jc w:val="right"/>
              <w:spacing w:after="0"/>
              <w:rPr>
                <w:sz w:val="20"/>
                <w:szCs w:val="20"/>
                <w:color w:val="auto"/>
              </w:rPr>
            </w:pPr>
            <w:r>
              <w:rPr>
                <w:rFonts w:ascii="Arial" w:cs="Arial" w:eastAsia="Arial" w:hAnsi="Arial"/>
                <w:sz w:val="18"/>
                <w:szCs w:val="18"/>
                <w:color w:val="auto"/>
              </w:rPr>
              <w:t>2,587,637</w:t>
            </w:r>
          </w:p>
        </w:tc>
        <w:tc>
          <w:tcPr>
            <w:tcW w:w="100" w:type="dxa"/>
            <w:vAlign w:val="bottom"/>
          </w:tcPr>
          <w:p>
            <w:pPr>
              <w:spacing w:after="0"/>
              <w:rPr>
                <w:sz w:val="18"/>
                <w:szCs w:val="18"/>
                <w:color w:val="auto"/>
              </w:rPr>
            </w:pPr>
          </w:p>
        </w:tc>
      </w:tr>
      <w:tr>
        <w:trPr>
          <w:trHeight w:val="230"/>
        </w:trPr>
        <w:tc>
          <w:tcPr>
            <w:tcW w:w="37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99"/>
              </w:rPr>
              <w:t>-</w:t>
            </w: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907</w:t>
            </w: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907</w:t>
            </w:r>
          </w:p>
        </w:tc>
        <w:tc>
          <w:tcPr>
            <w:tcW w:w="8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386,840</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387,747</w:t>
            </w:r>
          </w:p>
        </w:tc>
      </w:tr>
      <w:tr>
        <w:trPr>
          <w:trHeight w:val="223"/>
        </w:trPr>
        <w:tc>
          <w:tcPr>
            <w:tcW w:w="3080" w:type="dxa"/>
            <w:vAlign w:val="bottom"/>
          </w:tcPr>
          <w:p>
            <w:pPr>
              <w:spacing w:after="0"/>
              <w:rPr>
                <w:sz w:val="20"/>
                <w:szCs w:val="20"/>
                <w:color w:val="auto"/>
              </w:rPr>
            </w:pPr>
            <w:r>
              <w:rPr>
                <w:rFonts w:ascii="Arial" w:cs="Arial" w:eastAsia="Arial" w:hAnsi="Arial"/>
                <w:sz w:val="18"/>
                <w:szCs w:val="18"/>
                <w:color w:val="auto"/>
              </w:rPr>
              <w:t>Total</w:t>
            </w:r>
          </w:p>
        </w:tc>
        <w:tc>
          <w:tcPr>
            <w:tcW w:w="640" w:type="dxa"/>
            <w:vAlign w:val="bottom"/>
            <w:tcBorders>
              <w:top w:val="single" w:sz="8" w:color="auto"/>
              <w:bottom w:val="single" w:sz="8" w:color="auto"/>
            </w:tcBorders>
          </w:tcPr>
          <w:p>
            <w:pPr>
              <w:spacing w:after="0"/>
              <w:rPr>
                <w:sz w:val="19"/>
                <w:szCs w:val="19"/>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5,613</w:t>
            </w:r>
          </w:p>
        </w:tc>
        <w:tc>
          <w:tcPr>
            <w:tcW w:w="180" w:type="dxa"/>
            <w:vAlign w:val="bottom"/>
          </w:tcPr>
          <w:p>
            <w:pPr>
              <w:spacing w:after="0"/>
              <w:rPr>
                <w:sz w:val="19"/>
                <w:szCs w:val="19"/>
                <w:color w:val="auto"/>
              </w:rPr>
            </w:pP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5,613</w:t>
            </w:r>
          </w:p>
        </w:tc>
        <w:tc>
          <w:tcPr>
            <w:tcW w:w="180" w:type="dxa"/>
            <w:vAlign w:val="bottom"/>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820" w:type="dxa"/>
            <w:vAlign w:val="bottom"/>
            <w:tcBorders>
              <w:top w:val="single" w:sz="8" w:color="auto"/>
              <w:bottom w:val="single" w:sz="8" w:color="auto"/>
            </w:tcBorders>
          </w:tcPr>
          <w:p>
            <w:pPr>
              <w:ind w:left="100"/>
              <w:spacing w:after="0"/>
              <w:rPr>
                <w:sz w:val="20"/>
                <w:szCs w:val="20"/>
                <w:color w:val="auto"/>
              </w:rPr>
            </w:pPr>
            <w:r>
              <w:rPr>
                <w:rFonts w:ascii="Arial" w:cs="Arial" w:eastAsia="Arial" w:hAnsi="Arial"/>
                <w:sz w:val="18"/>
                <w:szCs w:val="18"/>
                <w:b w:val="1"/>
                <w:bCs w:val="1"/>
                <w:color w:val="auto"/>
                <w:w w:val="87"/>
              </w:rPr>
              <w:t>6,686,136</w:t>
            </w:r>
          </w:p>
        </w:tc>
        <w:tc>
          <w:tcPr>
            <w:tcW w:w="200" w:type="dxa"/>
            <w:vAlign w:val="bottom"/>
          </w:tcPr>
          <w:p>
            <w:pPr>
              <w:spacing w:after="0"/>
              <w:rPr>
                <w:sz w:val="19"/>
                <w:szCs w:val="19"/>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6,691,749</w:t>
            </w:r>
          </w:p>
        </w:tc>
        <w:tc>
          <w:tcPr>
            <w:tcW w:w="100" w:type="dxa"/>
            <w:vAlign w:val="bottom"/>
          </w:tcPr>
          <w:p>
            <w:pPr>
              <w:spacing w:after="0"/>
              <w:rPr>
                <w:sz w:val="19"/>
                <w:szCs w:val="19"/>
                <w:color w:val="auto"/>
              </w:rPr>
            </w:pPr>
          </w:p>
        </w:tc>
      </w:tr>
      <w:tr>
        <w:trPr>
          <w:trHeight w:val="20"/>
        </w:trPr>
        <w:tc>
          <w:tcPr>
            <w:tcW w:w="308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500"/>
        <w:spacing w:after="0" w:line="293" w:lineRule="auto"/>
        <w:rPr>
          <w:sz w:val="20"/>
          <w:szCs w:val="20"/>
          <w:color w:val="auto"/>
        </w:rPr>
      </w:pPr>
      <w:r>
        <w:rPr>
          <w:rFonts w:ascii="Arial" w:cs="Arial" w:eastAsia="Arial" w:hAnsi="Arial"/>
          <w:sz w:val="16"/>
          <w:szCs w:val="16"/>
          <w:color w:val="auto"/>
        </w:rPr>
        <w:t>As of September 30, 2016 and December 31, 2015 the Bank had credit transactions in the normal course of business with 14% and 16%, of its Class “A” and “B” stockholders. All transactions were made based on arm’s-length terms and subject to prevailing commercial criteria and market rates and were subject to all of the Bank’s Corporate Governance and control procedures. As of September 30, 2016 and December 31, 2015, approximately 7% and 9%, respectively, of the outstanding loan portfolio was placed with the Bank’s Class “A” and “B” stockholders and their related parties. As of September 30, 2016,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5"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allowances for expected credit losses related to loans at amortized cost are as follows:</w:t>
      </w:r>
    </w:p>
    <w:p>
      <w:pPr>
        <w:spacing w:after="0" w:line="133"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38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18"/>
                <w:szCs w:val="18"/>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(collectively</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5"/>
              </w:rPr>
              <w:t>(individually</w:t>
            </w:r>
          </w:p>
        </w:tc>
        <w:tc>
          <w:tcPr>
            <w:tcW w:w="1380" w:type="dxa"/>
            <w:vAlign w:val="bottom"/>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78"/>
              </w:rPr>
              <w:t>assessed)</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assessed)</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59,214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9,609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21,151</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89,974</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(8,743)</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5,387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3,357</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(3,468)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(2,024)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5,499</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2,038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(2,077)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38</w:t>
            </w:r>
          </w:p>
        </w:tc>
        <w:tc>
          <w:tcPr>
            <w:tcW w:w="200" w:type="dxa"/>
            <w:vAlign w:val="bottom"/>
          </w:tcPr>
          <w:p>
            <w:pPr>
              <w:spacing w:after="0"/>
              <w:rPr>
                <w:sz w:val="18"/>
                <w:szCs w:val="18"/>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effect of changes in reserve for expected credit</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losses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(37,117)</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27,989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1,265</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16,962</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9,099</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860" w:type="dxa"/>
            <w:vAlign w:val="bottom"/>
          </w:tcPr>
          <w:p>
            <w:pPr>
              <w:spacing w:after="0" w:line="201" w:lineRule="exact"/>
              <w:rPr>
                <w:sz w:val="20"/>
                <w:szCs w:val="20"/>
                <w:color w:val="auto"/>
              </w:rPr>
            </w:pPr>
            <w:r>
              <w:rPr>
                <w:rFonts w:ascii="Arial" w:cs="Arial" w:eastAsia="Arial" w:hAnsi="Arial"/>
                <w:sz w:val="18"/>
                <w:szCs w:val="18"/>
                <w:color w:val="auto"/>
                <w:w w:val="91"/>
              </w:rPr>
              <w:t>Financial assets that have been derecognized during</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tcPr>
          <w:p>
            <w:pPr>
              <w:ind w:left="60"/>
              <w:spacing w:after="0"/>
              <w:rPr>
                <w:sz w:val="20"/>
                <w:szCs w:val="20"/>
                <w:color w:val="auto"/>
              </w:rPr>
            </w:pPr>
            <w:r>
              <w:rPr>
                <w:rFonts w:ascii="Arial" w:cs="Arial" w:eastAsia="Arial" w:hAnsi="Arial"/>
                <w:sz w:val="18"/>
                <w:szCs w:val="18"/>
                <w:color w:val="auto"/>
              </w:rPr>
              <w:t>the 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(52,417)</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(8,515)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(60,932)</w:t>
            </w:r>
          </w:p>
        </w:tc>
        <w:tc>
          <w:tcPr>
            <w:tcW w:w="0" w:type="dxa"/>
            <w:vAlign w:val="bottom"/>
          </w:tcPr>
          <w:p>
            <w:pPr>
              <w:spacing w:after="0"/>
              <w:rPr>
                <w:sz w:val="1"/>
                <w:szCs w:val="1"/>
                <w:color w:val="auto"/>
              </w:rPr>
            </w:pPr>
          </w:p>
        </w:tc>
      </w:tr>
      <w:tr>
        <w:trPr>
          <w:trHeight w:val="182"/>
        </w:trPr>
        <w:tc>
          <w:tcPr>
            <w:tcW w:w="38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of December 31, 2015: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(96,246)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19,316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2,598</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22,499</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(51,833)</w:t>
            </w: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69,101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69,101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(907)</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(907)</w:t>
            </w:r>
          </w:p>
        </w:tc>
        <w:tc>
          <w:tcPr>
            <w:tcW w:w="0" w:type="dxa"/>
            <w:vAlign w:val="bottom"/>
          </w:tcPr>
          <w:p>
            <w:pPr>
              <w:spacing w:after="0"/>
              <w:rPr>
                <w:sz w:val="1"/>
                <w:szCs w:val="1"/>
                <w:color w:val="auto"/>
              </w:rPr>
            </w:pPr>
          </w:p>
        </w:tc>
      </w:tr>
      <w:tr>
        <w:trPr>
          <w:trHeight w:val="178"/>
        </w:trPr>
        <w:tc>
          <w:tcPr>
            <w:tcW w:w="3860" w:type="dxa"/>
            <w:vAlign w:val="bottom"/>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tcPr>
          <w:p>
            <w:pPr>
              <w:ind w:left="60"/>
              <w:spacing w:after="0"/>
              <w:rPr>
                <w:sz w:val="20"/>
                <w:szCs w:val="20"/>
                <w:color w:val="auto"/>
              </w:rPr>
            </w:pPr>
            <w:r>
              <w:rPr>
                <w:rFonts w:ascii="Arial" w:cs="Arial" w:eastAsia="Arial" w:hAnsi="Arial"/>
                <w:sz w:val="18"/>
                <w:szCs w:val="18"/>
                <w:b w:val="1"/>
                <w:bCs w:val="1"/>
                <w:color w:val="auto"/>
              </w:rPr>
              <w:t>September 30, 2016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32,069</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28,925</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2,598</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42,743</w:t>
            </w: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106,335</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8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4" w:lineRule="exact"/>
        <w:rPr>
          <w:sz w:val="20"/>
          <w:szCs w:val="20"/>
          <w:color w:val="auto"/>
        </w:rPr>
      </w:pPr>
    </w:p>
    <w:p>
      <w:pPr>
        <w:ind w:left="1060" w:hanging="323"/>
        <w:spacing w:after="0"/>
        <w:tabs>
          <w:tab w:leader="none" w:pos="1060" w:val="left"/>
        </w:tabs>
        <w:numPr>
          <w:ilvl w:val="0"/>
          <w:numId w:val="24"/>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4"/>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4"/>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200" w:lineRule="exact"/>
        <w:rPr>
          <w:sz w:val="20"/>
          <w:szCs w:val="20"/>
          <w:color w:val="auto"/>
        </w:rPr>
      </w:pPr>
    </w:p>
    <w:p>
      <w:pPr>
        <w:spacing w:after="0" w:line="218"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7" w:name="page28"/>
    <w:bookmarkEnd w:id="2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4.</w:t>
            </w:r>
          </w:p>
        </w:tc>
        <w:tc>
          <w:tcPr>
            <w:tcW w:w="4040" w:type="dxa"/>
            <w:vAlign w:val="bottom"/>
            <w:gridSpan w:val="2"/>
          </w:tcPr>
          <w:p>
            <w:pPr>
              <w:ind w:left="180"/>
              <w:spacing w:after="0"/>
              <w:rPr>
                <w:sz w:val="20"/>
                <w:szCs w:val="20"/>
                <w:color w:val="auto"/>
              </w:rPr>
            </w:pPr>
            <w:r>
              <w:rPr>
                <w:rFonts w:ascii="Arial" w:cs="Arial" w:eastAsia="Arial" w:hAnsi="Arial"/>
                <w:sz w:val="18"/>
                <w:szCs w:val="18"/>
                <w:b w:val="1"/>
                <w:bCs w:val="1"/>
                <w:color w:val="auto"/>
              </w:rPr>
              <w:t>Financial instruments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4040" w:type="dxa"/>
            <w:vAlign w:val="bottom"/>
            <w:gridSpan w:val="2"/>
          </w:tcPr>
          <w:p>
            <w:pPr>
              <w:ind w:left="180"/>
              <w:spacing w:after="0"/>
              <w:rPr>
                <w:sz w:val="20"/>
                <w:szCs w:val="20"/>
                <w:color w:val="auto"/>
              </w:rPr>
            </w:pPr>
            <w:r>
              <w:rPr>
                <w:rFonts w:ascii="Arial" w:cs="Arial" w:eastAsia="Arial" w:hAnsi="Arial"/>
                <w:sz w:val="18"/>
                <w:szCs w:val="18"/>
                <w:b w:val="1"/>
                <w:bCs w:val="1"/>
                <w:color w:val="auto"/>
              </w:rPr>
              <w:t>4.6   Loans – at amortized cost (continued)</w:t>
            </w: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5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8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 xml:space="preserve">Stage 2 </w:t>
            </w:r>
            <w:r>
              <w:rPr>
                <w:rFonts w:ascii="Arial" w:cs="Arial" w:eastAsia="Arial" w:hAnsi="Arial"/>
                <w:sz w:val="30"/>
                <w:szCs w:val="30"/>
                <w:b w:val="1"/>
                <w:bCs w:val="1"/>
                <w:color w:val="auto"/>
                <w:vertAlign w:val="superscript"/>
              </w:rPr>
              <w:t>(2)</w:t>
            </w: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18"/>
                <w:szCs w:val="18"/>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w w:val="96"/>
              </w:rPr>
              <w:t>(collectively</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(individually</w:t>
            </w:r>
          </w:p>
        </w:tc>
        <w:tc>
          <w:tcPr>
            <w:tcW w:w="1380" w:type="dxa"/>
            <w:vAlign w:val="bottom"/>
            <w:gridSpan w:val="2"/>
            <w:vMerge w:val="restart"/>
          </w:tcPr>
          <w:p>
            <w:pPr>
              <w:jc w:val="right"/>
              <w:ind w:right="4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assessed)</w:t>
            </w:r>
          </w:p>
        </w:tc>
        <w:tc>
          <w:tcPr>
            <w:tcW w:w="1420" w:type="dxa"/>
            <w:vAlign w:val="bottom"/>
            <w:gridSpan w:val="2"/>
          </w:tcPr>
          <w:p>
            <w:pPr>
              <w:ind w:left="260"/>
              <w:spacing w:after="0"/>
              <w:rPr>
                <w:sz w:val="20"/>
                <w:szCs w:val="20"/>
                <w:color w:val="auto"/>
              </w:rPr>
            </w:pPr>
            <w:r>
              <w:rPr>
                <w:rFonts w:ascii="Arial" w:cs="Arial" w:eastAsia="Arial" w:hAnsi="Arial"/>
                <w:sz w:val="18"/>
                <w:szCs w:val="18"/>
                <w:b w:val="1"/>
                <w:bCs w:val="1"/>
                <w:color w:val="auto"/>
              </w:rPr>
              <w:t>assessed)</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December 31, 2014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37,469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37,564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2,654</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77,687</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(9,147)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9,147</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financial assets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(24,186)</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24,186</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101</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(101)</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1"/>
              </w:rPr>
              <w:t>Financial assets that have been derecognized during</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the period</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(31,774)</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(12,815)</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(44,589)</w:t>
            </w:r>
          </w:p>
        </w:tc>
        <w:tc>
          <w:tcPr>
            <w:tcW w:w="0" w:type="dxa"/>
            <w:vAlign w:val="bottom"/>
          </w:tcPr>
          <w:p>
            <w:pPr>
              <w:spacing w:after="0"/>
              <w:rPr>
                <w:sz w:val="1"/>
                <w:szCs w:val="1"/>
                <w:color w:val="auto"/>
              </w:rPr>
            </w:pPr>
          </w:p>
        </w:tc>
      </w:tr>
      <w:tr>
        <w:trPr>
          <w:trHeight w:val="182"/>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Pr>
          <w:p>
            <w:pPr>
              <w:spacing w:after="0" w:line="182" w:lineRule="exact"/>
              <w:rPr>
                <w:sz w:val="20"/>
                <w:szCs w:val="20"/>
                <w:color w:val="auto"/>
              </w:rPr>
            </w:pPr>
            <w:r>
              <w:rPr>
                <w:rFonts w:ascii="Arial" w:cs="Arial" w:eastAsia="Arial" w:hAnsi="Arial"/>
                <w:sz w:val="18"/>
                <w:szCs w:val="18"/>
                <w:color w:val="auto"/>
                <w:w w:val="92"/>
              </w:rPr>
              <w:t>Changes due to financial instruments recognized as</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860" w:type="dxa"/>
            <w:vAlign w:val="bottom"/>
          </w:tcPr>
          <w:p>
            <w:pPr>
              <w:ind w:left="60"/>
              <w:spacing w:after="0"/>
              <w:rPr>
                <w:sz w:val="20"/>
                <w:szCs w:val="20"/>
                <w:color w:val="auto"/>
              </w:rPr>
            </w:pPr>
            <w:r>
              <w:rPr>
                <w:rFonts w:ascii="Arial" w:cs="Arial" w:eastAsia="Arial" w:hAnsi="Arial"/>
                <w:sz w:val="18"/>
                <w:szCs w:val="18"/>
                <w:color w:val="auto"/>
              </w:rPr>
              <w:t>of December 31, 2014:</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(40,820)</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(27,955)</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24,186</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(44,589)</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62,565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62,565</w:t>
            </w: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3860" w:type="dxa"/>
            <w:vAlign w:val="bottom"/>
          </w:tcPr>
          <w:p>
            <w:pPr>
              <w:spacing w:after="0"/>
              <w:rPr>
                <w:sz w:val="20"/>
                <w:szCs w:val="20"/>
                <w:color w:val="auto"/>
              </w:rPr>
            </w:pPr>
            <w:r>
              <w:rPr>
                <w:rFonts w:ascii="Arial" w:cs="Arial" w:eastAsia="Arial" w:hAnsi="Arial"/>
                <w:sz w:val="18"/>
                <w:szCs w:val="18"/>
                <w:color w:val="auto"/>
              </w:rPr>
              <w:t>Write-offs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140"/>
              <w:spacing w:after="0"/>
              <w:rPr>
                <w:sz w:val="20"/>
                <w:szCs w:val="20"/>
                <w:color w:val="auto"/>
              </w:rPr>
            </w:pPr>
            <w:r>
              <w:rPr>
                <w:rFonts w:ascii="Arial" w:cs="Arial" w:eastAsia="Arial" w:hAnsi="Arial"/>
                <w:sz w:val="18"/>
                <w:szCs w:val="18"/>
                <w:color w:val="auto"/>
              </w:rPr>
              <w:t>(5,689)</w:t>
            </w: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(5,689)</w:t>
            </w:r>
          </w:p>
        </w:tc>
        <w:tc>
          <w:tcPr>
            <w:tcW w:w="0" w:type="dxa"/>
            <w:vAlign w:val="bottom"/>
          </w:tcPr>
          <w:p>
            <w:pPr>
              <w:spacing w:after="0"/>
              <w:rPr>
                <w:sz w:val="1"/>
                <w:szCs w:val="1"/>
                <w:color w:val="auto"/>
              </w:rPr>
            </w:pPr>
          </w:p>
        </w:tc>
      </w:tr>
      <w:tr>
        <w:trPr>
          <w:trHeight w:val="178"/>
        </w:trPr>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2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59,214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9,609</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21,151</w:t>
            </w: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89,974</w:t>
            </w: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8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4" w:lineRule="exact"/>
        <w:rPr>
          <w:sz w:val="20"/>
          <w:szCs w:val="20"/>
          <w:color w:val="auto"/>
        </w:rPr>
      </w:pPr>
    </w:p>
    <w:p>
      <w:pPr>
        <w:ind w:left="1060" w:hanging="323"/>
        <w:spacing w:after="0"/>
        <w:tabs>
          <w:tab w:leader="none" w:pos="1060" w:val="left"/>
        </w:tabs>
        <w:numPr>
          <w:ilvl w:val="0"/>
          <w:numId w:val="25"/>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5"/>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5"/>
        </w:numPr>
        <w:rPr>
          <w:rFonts w:ascii="Arial" w:cs="Arial" w:eastAsia="Arial" w:hAnsi="Arial"/>
          <w:sz w:val="24"/>
          <w:szCs w:val="24"/>
          <w:color w:val="auto"/>
          <w:vertAlign w:val="superscript"/>
        </w:rPr>
      </w:pPr>
      <w:r>
        <w:rPr>
          <w:rFonts w:ascii="Arial" w:cs="Arial" w:eastAsia="Arial" w:hAnsi="Arial"/>
          <w:sz w:val="15"/>
          <w:szCs w:val="15"/>
          <w:color w:val="auto"/>
        </w:rPr>
        <w:t>Credit-impaired financial assets (lifetime expected credit losses)</w:t>
      </w:r>
    </w:p>
    <w:p>
      <w:pPr>
        <w:spacing w:after="0" w:line="198" w:lineRule="exact"/>
        <w:rPr>
          <w:sz w:val="20"/>
          <w:szCs w:val="20"/>
          <w:color w:val="auto"/>
        </w:rPr>
      </w:pPr>
    </w:p>
    <w:p>
      <w:pPr>
        <w:ind w:left="500"/>
        <w:spacing w:after="0"/>
        <w:tabs>
          <w:tab w:leader="none" w:pos="960" w:val="left"/>
        </w:tabs>
        <w:rPr>
          <w:sz w:val="20"/>
          <w:szCs w:val="20"/>
          <w:color w:val="auto"/>
        </w:rPr>
      </w:pPr>
      <w:r>
        <w:rPr>
          <w:rFonts w:ascii="Arial" w:cs="Arial" w:eastAsia="Arial" w:hAnsi="Arial"/>
          <w:sz w:val="18"/>
          <w:szCs w:val="18"/>
          <w:b w:val="1"/>
          <w:bCs w:val="1"/>
          <w:color w:val="auto"/>
        </w:rPr>
        <w:t>4.7</w:t>
      </w:r>
      <w:r>
        <w:rPr>
          <w:sz w:val="20"/>
          <w:szCs w:val="20"/>
          <w:color w:val="auto"/>
        </w:rPr>
        <w:tab/>
      </w:r>
      <w:r>
        <w:rPr>
          <w:rFonts w:ascii="Arial" w:cs="Arial" w:eastAsia="Arial" w:hAnsi="Arial"/>
          <w:sz w:val="16"/>
          <w:szCs w:val="16"/>
          <w:b w:val="1"/>
          <w:bCs w:val="1"/>
          <w:color w:val="auto"/>
        </w:rPr>
        <w:t>Instruments with off-balance sheet credit risk</w:t>
      </w:r>
    </w:p>
    <w:p>
      <w:pPr>
        <w:spacing w:after="0" w:line="229"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In the normal course of business, to meet the financing needs of its customers, the Bank is party to instruments with off-balance sheet credit risk. These instruments involve, to varying degrees, elements of credit and market risk in excess of the amount recognized in the consolidated statement of financial position. Credit risk represents the possibility of loss resulting from the failure of a customer to perform in accordance with the terms of a contract.</w:t>
      </w:r>
    </w:p>
    <w:p>
      <w:pPr>
        <w:sectPr>
          <w:pgSz w:w="11900" w:h="16838" w:orient="portrait"/>
          <w:cols w:equalWidth="0" w:num="1">
            <w:col w:w="11420"/>
          </w:cols>
          <w:pgMar w:left="240" w:top="904" w:right="239" w:bottom="1440" w:gutter="0" w:footer="0" w:header="0"/>
        </w:sectPr>
      </w:pPr>
    </w:p>
    <w:p>
      <w:pPr>
        <w:spacing w:after="0" w:line="187" w:lineRule="exact"/>
        <w:rPr>
          <w:sz w:val="20"/>
          <w:szCs w:val="20"/>
          <w:color w:val="auto"/>
        </w:rPr>
      </w:pPr>
    </w:p>
    <w:p>
      <w:pPr>
        <w:ind w:left="500"/>
        <w:spacing w:after="0"/>
        <w:rPr>
          <w:sz w:val="20"/>
          <w:szCs w:val="20"/>
          <w:color w:val="auto"/>
        </w:rPr>
      </w:pPr>
      <w:r>
        <w:rPr>
          <w:rFonts w:ascii="Arial" w:cs="Arial" w:eastAsia="Arial" w:hAnsi="Arial"/>
          <w:sz w:val="16"/>
          <w:szCs w:val="16"/>
          <w:color w:val="auto"/>
        </w:rPr>
        <w:t>The Bank’s outstanding instruments with off-balance sheet credit risk are as follows: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Confirmed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-130175</wp:posOffset>
            </wp:positionV>
            <wp:extent cx="6809105" cy="14605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Stand-by letters of credit and guaranteed –Commercial risk</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Credit commitments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-130810</wp:posOffset>
            </wp:positionV>
            <wp:extent cx="6809105" cy="14605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ind w:left="5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September 30,</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140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20"/>
                <w:szCs w:val="20"/>
                <w:color w:val="auto"/>
              </w:rPr>
            </w:pPr>
          </w:p>
        </w:tc>
      </w:tr>
      <w:tr>
        <w:trPr>
          <w:trHeight w:val="195"/>
        </w:trPr>
        <w:tc>
          <w:tcPr>
            <w:tcW w:w="1400" w:type="dxa"/>
            <w:vAlign w:val="bottom"/>
          </w:tcPr>
          <w:p>
            <w:pPr>
              <w:jc w:val="right"/>
              <w:spacing w:after="0" w:line="195" w:lineRule="exact"/>
              <w:rPr>
                <w:sz w:val="20"/>
                <w:szCs w:val="20"/>
                <w:color w:val="auto"/>
              </w:rPr>
            </w:pPr>
            <w:r>
              <w:rPr>
                <w:rFonts w:ascii="Arial" w:cs="Arial" w:eastAsia="Arial" w:hAnsi="Arial"/>
                <w:sz w:val="18"/>
                <w:szCs w:val="18"/>
                <w:color w:val="auto"/>
              </w:rPr>
              <w:t>103,119</w:t>
            </w:r>
          </w:p>
        </w:tc>
        <w:tc>
          <w:tcPr>
            <w:tcW w:w="220" w:type="dxa"/>
            <w:vAlign w:val="bottom"/>
          </w:tcPr>
          <w:p>
            <w:pPr>
              <w:spacing w:after="0"/>
              <w:rPr>
                <w:sz w:val="16"/>
                <w:szCs w:val="16"/>
                <w:color w:val="auto"/>
              </w:rPr>
            </w:pPr>
          </w:p>
        </w:tc>
        <w:tc>
          <w:tcPr>
            <w:tcW w:w="1380" w:type="dxa"/>
            <w:vAlign w:val="bottom"/>
          </w:tcPr>
          <w:p>
            <w:pPr>
              <w:jc w:val="right"/>
              <w:spacing w:after="0" w:line="195" w:lineRule="exact"/>
              <w:rPr>
                <w:sz w:val="20"/>
                <w:szCs w:val="20"/>
                <w:color w:val="auto"/>
              </w:rPr>
            </w:pPr>
            <w:r>
              <w:rPr>
                <w:rFonts w:ascii="Arial" w:cs="Arial" w:eastAsia="Arial" w:hAnsi="Arial"/>
                <w:sz w:val="18"/>
                <w:szCs w:val="18"/>
                <w:color w:val="auto"/>
              </w:rPr>
              <w:t>99,031</w:t>
            </w:r>
          </w:p>
        </w:tc>
        <w:tc>
          <w:tcPr>
            <w:tcW w:w="20" w:type="dxa"/>
            <w:vAlign w:val="bottom"/>
          </w:tcPr>
          <w:p>
            <w:pPr>
              <w:spacing w:after="0"/>
              <w:rPr>
                <w:sz w:val="16"/>
                <w:szCs w:val="16"/>
                <w:color w:val="auto"/>
              </w:rPr>
            </w:pPr>
          </w:p>
        </w:tc>
      </w:tr>
      <w:tr>
        <w:trPr>
          <w:trHeight w:val="230"/>
        </w:trPr>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138,672</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158,599</w:t>
            </w:r>
          </w:p>
        </w:tc>
      </w:tr>
      <w:tr>
        <w:trPr>
          <w:trHeight w:val="230"/>
        </w:trPr>
        <w:tc>
          <w:tcPr>
            <w:tcW w:w="1620" w:type="dxa"/>
            <w:vAlign w:val="bottom"/>
            <w:gridSpan w:val="2"/>
          </w:tcPr>
          <w:p>
            <w:pPr>
              <w:jc w:val="right"/>
              <w:ind w:right="220"/>
              <w:spacing w:after="0"/>
              <w:rPr>
                <w:sz w:val="20"/>
                <w:szCs w:val="20"/>
                <w:color w:val="auto"/>
              </w:rPr>
            </w:pPr>
            <w:r>
              <w:rPr>
                <w:rFonts w:ascii="Arial" w:cs="Arial" w:eastAsia="Arial" w:hAnsi="Arial"/>
                <w:sz w:val="18"/>
                <w:szCs w:val="18"/>
                <w:color w:val="auto"/>
              </w:rPr>
              <w:t>50,958</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189,820</w:t>
            </w:r>
          </w:p>
        </w:tc>
      </w:tr>
      <w:tr>
        <w:trPr>
          <w:trHeight w:val="223"/>
        </w:trPr>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292,749</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447,450</w:t>
            </w:r>
          </w:p>
        </w:tc>
      </w:tr>
      <w:tr>
        <w:trPr>
          <w:trHeight w:val="20"/>
        </w:trPr>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400" w:space="720"/>
            <w:col w:w="3300"/>
          </w:cols>
          <w:pgMar w:left="240" w:top="904" w:right="239" w:bottom="1440" w:gutter="0" w:footer="0" w:header="0"/>
          <w:type w:val="continuous"/>
        </w:sectPr>
      </w:pPr>
    </w:p>
    <w:p>
      <w:pPr>
        <w:spacing w:after="0" w:line="218"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28" w:name="page29"/>
    <w:bookmarkEnd w:id="28"/>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63" w:lineRule="exact"/>
        <w:rPr>
          <w:sz w:val="20"/>
          <w:szCs w:val="20"/>
          <w:color w:val="auto"/>
        </w:rPr>
      </w:pPr>
    </w:p>
    <w:p>
      <w:pPr>
        <w:ind w:left="500" w:hanging="492"/>
        <w:spacing w:after="0"/>
        <w:tabs>
          <w:tab w:leader="none" w:pos="50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2016 and December 31, 2015 the remaining maturity profile of the Bank’s outstanding instruments with off-balance sheet credit risk is as follows:</w:t>
      </w:r>
    </w:p>
    <w:p>
      <w:pPr>
        <w:spacing w:after="0" w:line="166"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1300" w:type="dxa"/>
            <w:vAlign w:val="bottom"/>
          </w:tcPr>
          <w:p>
            <w:pPr>
              <w:spacing w:after="0"/>
              <w:rPr>
                <w:sz w:val="18"/>
                <w:szCs w:val="18"/>
                <w:color w:val="auto"/>
              </w:rPr>
            </w:pPr>
          </w:p>
        </w:tc>
        <w:tc>
          <w:tcPr>
            <w:tcW w:w="6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September 30,</w:t>
            </w:r>
          </w:p>
        </w:tc>
        <w:tc>
          <w:tcPr>
            <w:tcW w:w="180" w:type="dxa"/>
            <w:vAlign w:val="bottom"/>
          </w:tcPr>
          <w:p>
            <w:pPr>
              <w:spacing w:after="0"/>
              <w:rPr>
                <w:sz w:val="18"/>
                <w:szCs w:val="18"/>
                <w:color w:val="auto"/>
              </w:rPr>
            </w:pPr>
          </w:p>
        </w:tc>
        <w:tc>
          <w:tcPr>
            <w:tcW w:w="1480" w:type="dxa"/>
            <w:vAlign w:val="bottom"/>
            <w:gridSpan w:val="4"/>
          </w:tcPr>
          <w:p>
            <w:pPr>
              <w:jc w:val="right"/>
              <w:ind w:right="2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700" w:type="dxa"/>
            <w:vAlign w:val="bottom"/>
            <w:gridSpan w:val="4"/>
          </w:tcPr>
          <w:p>
            <w:pPr>
              <w:spacing w:after="0"/>
              <w:rPr>
                <w:sz w:val="20"/>
                <w:szCs w:val="20"/>
                <w:color w:val="auto"/>
              </w:rPr>
            </w:pPr>
            <w:r>
              <w:rPr>
                <w:rFonts w:ascii="Arial" w:cs="Arial" w:eastAsia="Arial" w:hAnsi="Arial"/>
                <w:sz w:val="18"/>
                <w:szCs w:val="18"/>
                <w:b w:val="1"/>
                <w:bCs w:val="1"/>
                <w:color w:val="auto"/>
              </w:rPr>
              <w:t>Maturities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9"/>
              </w:rPr>
              <w:t>2016</w:t>
            </w:r>
          </w:p>
        </w:tc>
        <w:tc>
          <w:tcPr>
            <w:tcW w:w="1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80" w:type="dxa"/>
            <w:vAlign w:val="bottom"/>
            <w:gridSpan w:val="2"/>
          </w:tcPr>
          <w:p>
            <w:pPr>
              <w:jc w:val="right"/>
              <w:ind w:right="50"/>
              <w:spacing w:after="0"/>
              <w:rPr>
                <w:sz w:val="20"/>
                <w:szCs w:val="20"/>
                <w:color w:val="auto"/>
              </w:rPr>
            </w:pPr>
            <w:r>
              <w:rPr>
                <w:rFonts w:ascii="Arial" w:cs="Arial" w:eastAsia="Arial" w:hAnsi="Arial"/>
                <w:sz w:val="18"/>
                <w:szCs w:val="18"/>
                <w:b w:val="1"/>
                <w:bCs w:val="1"/>
                <w:color w:val="auto"/>
              </w:rPr>
              <w:t>2015</w:t>
            </w: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75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8"/>
                <w:szCs w:val="18"/>
                <w:color w:val="auto"/>
              </w:rPr>
              <w:t>Up to 1 year</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32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257,968</w:t>
            </w: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424,687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700" w:type="dxa"/>
            <w:vAlign w:val="bottom"/>
            <w:gridSpan w:val="4"/>
          </w:tcPr>
          <w:p>
            <w:pPr>
              <w:spacing w:after="0"/>
              <w:rPr>
                <w:sz w:val="20"/>
                <w:szCs w:val="20"/>
                <w:color w:val="auto"/>
              </w:rPr>
            </w:pPr>
            <w:r>
              <w:rPr>
                <w:rFonts w:ascii="Arial" w:cs="Arial" w:eastAsia="Arial" w:hAnsi="Arial"/>
                <w:sz w:val="18"/>
                <w:szCs w:val="18"/>
                <w:color w:val="auto"/>
              </w:rPr>
              <w:t>From 1 to 2 years</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34,203</w:t>
            </w:r>
          </w:p>
        </w:tc>
        <w:tc>
          <w:tcPr>
            <w:tcW w:w="1660" w:type="dxa"/>
            <w:vAlign w:val="bottom"/>
            <w:gridSpan w:val="5"/>
          </w:tcPr>
          <w:p>
            <w:pPr>
              <w:jc w:val="right"/>
              <w:ind w:right="100"/>
              <w:spacing w:after="0"/>
              <w:rPr>
                <w:sz w:val="20"/>
                <w:szCs w:val="20"/>
                <w:color w:val="auto"/>
              </w:rPr>
            </w:pPr>
            <w:r>
              <w:rPr>
                <w:rFonts w:ascii="Arial" w:cs="Arial" w:eastAsia="Arial" w:hAnsi="Arial"/>
                <w:sz w:val="18"/>
                <w:szCs w:val="18"/>
                <w:color w:val="auto"/>
              </w:rPr>
              <w:t>22,185</w:t>
            </w:r>
          </w:p>
        </w:tc>
        <w:tc>
          <w:tcPr>
            <w:tcW w:w="0" w:type="dxa"/>
            <w:vAlign w:val="bottom"/>
          </w:tcPr>
          <w:p>
            <w:pPr>
              <w:spacing w:after="0"/>
              <w:rPr>
                <w:sz w:val="1"/>
                <w:szCs w:val="1"/>
                <w:color w:val="auto"/>
              </w:rPr>
            </w:pPr>
          </w:p>
        </w:tc>
      </w:tr>
      <w:tr>
        <w:trPr>
          <w:trHeight w:val="216"/>
        </w:trPr>
        <w:tc>
          <w:tcPr>
            <w:tcW w:w="77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From 2 to 5 years</w:t>
            </w:r>
          </w:p>
        </w:tc>
        <w:tc>
          <w:tcPr>
            <w:tcW w:w="13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w:t>
            </w:r>
          </w:p>
        </w:tc>
        <w:tc>
          <w:tcPr>
            <w:tcW w:w="156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7700" w:type="dxa"/>
            <w:vAlign w:val="bottom"/>
            <w:gridSpan w:val="4"/>
          </w:tcPr>
          <w:p>
            <w:pPr>
              <w:spacing w:after="0"/>
              <w:rPr>
                <w:sz w:val="20"/>
                <w:szCs w:val="20"/>
                <w:color w:val="auto"/>
              </w:rPr>
            </w:pPr>
            <w:r>
              <w:rPr>
                <w:rFonts w:ascii="Arial" w:cs="Arial" w:eastAsia="Arial" w:hAnsi="Arial"/>
                <w:sz w:val="18"/>
                <w:szCs w:val="18"/>
                <w:color w:val="auto"/>
              </w:rPr>
              <w:t>More than 5 years</w:t>
            </w:r>
          </w:p>
        </w:tc>
        <w:tc>
          <w:tcPr>
            <w:tcW w:w="1360" w:type="dxa"/>
            <w:vAlign w:val="bottom"/>
            <w:gridSpan w:val="3"/>
          </w:tcPr>
          <w:p>
            <w:pPr>
              <w:jc w:val="right"/>
              <w:ind w:right="40"/>
              <w:spacing w:after="0"/>
              <w:rPr>
                <w:sz w:val="20"/>
                <w:szCs w:val="20"/>
                <w:color w:val="auto"/>
              </w:rPr>
            </w:pPr>
            <w:r>
              <w:rPr>
                <w:rFonts w:ascii="Arial" w:cs="Arial" w:eastAsia="Arial" w:hAnsi="Arial"/>
                <w:sz w:val="18"/>
                <w:szCs w:val="18"/>
                <w:color w:val="auto"/>
              </w:rPr>
              <w:t>578</w:t>
            </w:r>
          </w:p>
        </w:tc>
        <w:tc>
          <w:tcPr>
            <w:tcW w:w="1660" w:type="dxa"/>
            <w:vAlign w:val="bottom"/>
            <w:gridSpan w:val="5"/>
          </w:tcPr>
          <w:p>
            <w:pPr>
              <w:jc w:val="right"/>
              <w:ind w:right="100"/>
              <w:spacing w:after="0"/>
              <w:rPr>
                <w:sz w:val="20"/>
                <w:szCs w:val="20"/>
                <w:color w:val="auto"/>
              </w:rPr>
            </w:pPr>
            <w:r>
              <w:rPr>
                <w:rFonts w:ascii="Arial" w:cs="Arial" w:eastAsia="Arial" w:hAnsi="Arial"/>
                <w:sz w:val="18"/>
                <w:szCs w:val="18"/>
                <w:color w:val="auto"/>
              </w:rPr>
              <w:t>578</w:t>
            </w:r>
          </w:p>
        </w:tc>
        <w:tc>
          <w:tcPr>
            <w:tcW w:w="0" w:type="dxa"/>
            <w:vAlign w:val="bottom"/>
          </w:tcPr>
          <w:p>
            <w:pPr>
              <w:spacing w:after="0"/>
              <w:rPr>
                <w:sz w:val="1"/>
                <w:szCs w:val="1"/>
                <w:color w:val="auto"/>
              </w:rPr>
            </w:pPr>
          </w:p>
        </w:tc>
      </w:tr>
      <w:tr>
        <w:trPr>
          <w:trHeight w:val="223"/>
        </w:trPr>
        <w:tc>
          <w:tcPr>
            <w:tcW w:w="1300" w:type="dxa"/>
            <w:vAlign w:val="bottom"/>
            <w:tcBorders>
              <w:top w:val="single" w:sz="8" w:color="CCEEFF"/>
              <w:bottom w:val="single" w:sz="8" w:color="CCEEFF"/>
            </w:tcBorders>
            <w:shd w:val="clear" w:color="auto" w:fill="CCEEFF"/>
          </w:tcPr>
          <w:p>
            <w:pPr>
              <w:spacing w:after="0"/>
              <w:rPr>
                <w:sz w:val="19"/>
                <w:szCs w:val="19"/>
                <w:color w:val="auto"/>
              </w:rPr>
            </w:pPr>
          </w:p>
        </w:tc>
        <w:tc>
          <w:tcPr>
            <w:tcW w:w="62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auto"/>
              <w:bottom w:val="single" w:sz="8" w:color="auto"/>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292,749</w:t>
            </w: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6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700" w:type="dxa"/>
            <w:vAlign w:val="bottom"/>
            <w:gridSpan w:val="4"/>
          </w:tcPr>
          <w:p>
            <w:pPr>
              <w:spacing w:after="0"/>
              <w:rPr>
                <w:sz w:val="20"/>
                <w:szCs w:val="20"/>
                <w:color w:val="auto"/>
              </w:rPr>
            </w:pPr>
            <w:r>
              <w:rPr>
                <w:rFonts w:ascii="Arial" w:cs="Arial" w:eastAsia="Arial" w:hAnsi="Arial"/>
                <w:sz w:val="18"/>
                <w:szCs w:val="18"/>
                <w:color w:val="auto"/>
                <w:w w:val="92"/>
              </w:rPr>
              <w:t>Instruments with off-balance sheet credit risk classified by issuer’s credit quality indicators are as follows:</w:t>
            </w:r>
          </w:p>
        </w:tc>
        <w:tc>
          <w:tcPr>
            <w:tcW w:w="1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1300" w:type="dxa"/>
            <w:vAlign w:val="bottom"/>
          </w:tcPr>
          <w:p>
            <w:pPr>
              <w:spacing w:after="0"/>
              <w:rPr>
                <w:sz w:val="24"/>
                <w:szCs w:val="24"/>
                <w:color w:val="auto"/>
              </w:rPr>
            </w:pPr>
          </w:p>
        </w:tc>
        <w:tc>
          <w:tcPr>
            <w:tcW w:w="6400" w:type="dxa"/>
            <w:vAlign w:val="bottom"/>
            <w:gridSpan w:val="3"/>
            <w:vMerge w:val="restart"/>
          </w:tcPr>
          <w:p>
            <w:pPr>
              <w:jc w:val="center"/>
              <w:ind w:right="80"/>
              <w:spacing w:after="0"/>
              <w:rPr>
                <w:sz w:val="20"/>
                <w:szCs w:val="20"/>
                <w:color w:val="auto"/>
              </w:rPr>
            </w:pPr>
            <w:r>
              <w:rPr>
                <w:rFonts w:ascii="Arial" w:cs="Arial" w:eastAsia="Arial" w:hAnsi="Arial"/>
                <w:sz w:val="18"/>
                <w:szCs w:val="18"/>
                <w:b w:val="1"/>
                <w:bCs w:val="1"/>
                <w:color w:val="auto"/>
                <w:w w:val="84"/>
              </w:rPr>
              <w:t>Rating</w:t>
            </w:r>
            <w:r>
              <w:rPr>
                <w:rFonts w:ascii="Arial" w:cs="Arial" w:eastAsia="Arial" w:hAnsi="Arial"/>
                <w:sz w:val="30"/>
                <w:szCs w:val="30"/>
                <w:b w:val="1"/>
                <w:bCs w:val="1"/>
                <w:color w:val="auto"/>
                <w:w w:val="84"/>
                <w:vertAlign w:val="superscript"/>
              </w:rPr>
              <w:t>(1)</w:t>
            </w:r>
          </w:p>
        </w:tc>
        <w:tc>
          <w:tcPr>
            <w:tcW w:w="1360" w:type="dxa"/>
            <w:vAlign w:val="bottom"/>
            <w:gridSpan w:val="3"/>
          </w:tcPr>
          <w:p>
            <w:pPr>
              <w:jc w:val="center"/>
              <w:ind w:right="140"/>
              <w:spacing w:after="0"/>
              <w:rPr>
                <w:sz w:val="20"/>
                <w:szCs w:val="20"/>
                <w:color w:val="auto"/>
              </w:rPr>
            </w:pPr>
            <w:r>
              <w:rPr>
                <w:rFonts w:ascii="Arial" w:cs="Arial" w:eastAsia="Arial" w:hAnsi="Arial"/>
                <w:sz w:val="18"/>
                <w:szCs w:val="18"/>
                <w:b w:val="1"/>
                <w:bCs w:val="1"/>
                <w:color w:val="auto"/>
                <w:w w:val="89"/>
              </w:rPr>
              <w:t>September 30,</w:t>
            </w:r>
          </w:p>
        </w:tc>
        <w:tc>
          <w:tcPr>
            <w:tcW w:w="1660" w:type="dxa"/>
            <w:vAlign w:val="bottom"/>
            <w:gridSpan w:val="5"/>
          </w:tcPr>
          <w:p>
            <w:pPr>
              <w:jc w:val="right"/>
              <w:ind w:right="540"/>
              <w:spacing w:after="0"/>
              <w:rPr>
                <w:sz w:val="20"/>
                <w:szCs w:val="20"/>
                <w:color w:val="auto"/>
              </w:rPr>
            </w:pPr>
            <w:r>
              <w:rPr>
                <w:rFonts w:ascii="Arial" w:cs="Arial" w:eastAsia="Arial" w:hAnsi="Arial"/>
                <w:sz w:val="18"/>
                <w:szCs w:val="18"/>
                <w:b w:val="1"/>
                <w:bCs w:val="1"/>
                <w:color w:val="auto"/>
                <w:w w:val="93"/>
              </w:rPr>
              <w:t>December 31,</w:t>
            </w:r>
          </w:p>
        </w:tc>
        <w:tc>
          <w:tcPr>
            <w:tcW w:w="0" w:type="dxa"/>
            <w:vAlign w:val="bottom"/>
          </w:tcPr>
          <w:p>
            <w:pPr>
              <w:spacing w:after="0"/>
              <w:rPr>
                <w:sz w:val="1"/>
                <w:szCs w:val="1"/>
                <w:color w:val="auto"/>
              </w:rPr>
            </w:pPr>
          </w:p>
        </w:tc>
      </w:tr>
      <w:tr>
        <w:trPr>
          <w:trHeight w:val="234"/>
        </w:trPr>
        <w:tc>
          <w:tcPr>
            <w:tcW w:w="1300" w:type="dxa"/>
            <w:vAlign w:val="bottom"/>
          </w:tcPr>
          <w:p>
            <w:pPr>
              <w:spacing w:after="0"/>
              <w:rPr>
                <w:sz w:val="20"/>
                <w:szCs w:val="20"/>
                <w:color w:val="auto"/>
              </w:rPr>
            </w:pPr>
          </w:p>
        </w:tc>
        <w:tc>
          <w:tcPr>
            <w:tcW w:w="6400" w:type="dxa"/>
            <w:vAlign w:val="bottom"/>
            <w:tcBorders>
              <w:bottom w:val="single" w:sz="8" w:color="CCEEFF"/>
            </w:tcBorders>
            <w:gridSpan w:val="3"/>
            <w:vMerge w:val="continue"/>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120" w:type="dxa"/>
            <w:vAlign w:val="bottom"/>
            <w:tcBorders>
              <w:bottom w:val="single" w:sz="8" w:color="CCEEFF"/>
            </w:tcBorders>
          </w:tcPr>
          <w:p>
            <w:pPr>
              <w:spacing w:after="0"/>
              <w:rPr>
                <w:sz w:val="20"/>
                <w:szCs w:val="20"/>
                <w:color w:val="auto"/>
              </w:rPr>
            </w:pPr>
          </w:p>
        </w:tc>
        <w:tc>
          <w:tcPr>
            <w:tcW w:w="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gridSpan w:val="2"/>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80" w:type="dxa"/>
            <w:vAlign w:val="bottom"/>
            <w:tcBorders>
              <w:bottom w:val="single" w:sz="8" w:color="CCEEFF"/>
            </w:tcBorders>
          </w:tcPr>
          <w:p>
            <w:pPr>
              <w:spacing w:after="0"/>
              <w:rPr>
                <w:sz w:val="20"/>
                <w:szCs w:val="20"/>
                <w:color w:val="auto"/>
              </w:rPr>
            </w:pP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92"/>
              </w:rPr>
              <w:t>1-4</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112,824</w:t>
            </w:r>
          </w:p>
        </w:tc>
        <w:tc>
          <w:tcPr>
            <w:tcW w:w="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276,860</w:t>
            </w:r>
          </w:p>
        </w:tc>
        <w:tc>
          <w:tcPr>
            <w:tcW w:w="80" w:type="dxa"/>
            <w:vAlign w:val="bottom"/>
            <w:shd w:val="clear" w:color="auto" w:fill="CCEEFF"/>
          </w:tcPr>
          <w:p>
            <w:pPr>
              <w:spacing w:after="0"/>
              <w:rPr>
                <w:sz w:val="18"/>
                <w:szCs w:val="18"/>
                <w:color w:val="auto"/>
              </w:rPr>
            </w:pP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tcPr>
          <w:p>
            <w:pPr>
              <w:jc w:val="center"/>
              <w:ind w:left="30"/>
              <w:spacing w:after="0"/>
              <w:rPr>
                <w:sz w:val="20"/>
                <w:szCs w:val="20"/>
                <w:color w:val="auto"/>
              </w:rPr>
            </w:pPr>
            <w:r>
              <w:rPr>
                <w:rFonts w:ascii="Arial" w:cs="Arial" w:eastAsia="Arial" w:hAnsi="Arial"/>
                <w:sz w:val="18"/>
                <w:szCs w:val="18"/>
                <w:color w:val="auto"/>
                <w:w w:val="92"/>
              </w:rPr>
              <w:t>5-6</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115,513</w:t>
            </w:r>
          </w:p>
        </w:tc>
        <w:tc>
          <w:tcPr>
            <w:tcW w:w="40" w:type="dxa"/>
            <w:vAlign w:val="bottom"/>
          </w:tcPr>
          <w:p>
            <w:pPr>
              <w:spacing w:after="0"/>
              <w:rPr>
                <w:sz w:val="18"/>
                <w:szCs w:val="18"/>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170,590</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79"/>
              </w:rPr>
              <w:t>7</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64,412</w:t>
            </w:r>
          </w:p>
        </w:tc>
        <w:tc>
          <w:tcPr>
            <w:tcW w:w="40" w:type="dxa"/>
            <w:vAlign w:val="bottom"/>
            <w:shd w:val="clear" w:color="auto" w:fill="CCEEFF"/>
          </w:tcPr>
          <w:p>
            <w:pPr>
              <w:spacing w:after="0"/>
              <w:rPr>
                <w:sz w:val="18"/>
                <w:szCs w:val="18"/>
                <w:color w:val="auto"/>
              </w:rPr>
            </w:pPr>
          </w:p>
        </w:tc>
        <w:tc>
          <w:tcPr>
            <w:tcW w:w="12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tcPr>
          <w:p>
            <w:pPr>
              <w:jc w:val="center"/>
              <w:ind w:left="30"/>
              <w:spacing w:after="0"/>
              <w:rPr>
                <w:sz w:val="20"/>
                <w:szCs w:val="20"/>
                <w:color w:val="auto"/>
              </w:rPr>
            </w:pPr>
            <w:r>
              <w:rPr>
                <w:rFonts w:ascii="Arial" w:cs="Arial" w:eastAsia="Arial" w:hAnsi="Arial"/>
                <w:sz w:val="18"/>
                <w:szCs w:val="18"/>
                <w:color w:val="auto"/>
                <w:w w:val="79"/>
              </w:rPr>
              <w:t>8</w:t>
            </w: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0" w:type="dxa"/>
            <w:vAlign w:val="bottom"/>
            <w:shd w:val="clear" w:color="auto" w:fill="CCEEFF"/>
          </w:tcPr>
          <w:p>
            <w:pPr>
              <w:jc w:val="center"/>
              <w:ind w:left="30"/>
              <w:spacing w:after="0"/>
              <w:rPr>
                <w:sz w:val="20"/>
                <w:szCs w:val="20"/>
                <w:color w:val="auto"/>
              </w:rPr>
            </w:pPr>
            <w:r>
              <w:rPr>
                <w:rFonts w:ascii="Arial" w:cs="Arial" w:eastAsia="Arial" w:hAnsi="Arial"/>
                <w:sz w:val="18"/>
                <w:szCs w:val="18"/>
                <w:color w:val="auto"/>
                <w:w w:val="79"/>
              </w:rPr>
              <w:t>9</w:t>
            </w:r>
          </w:p>
        </w:tc>
        <w:tc>
          <w:tcPr>
            <w:tcW w:w="1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shd w:val="clear" w:color="auto" w:fill="CCEEFF"/>
          </w:tcPr>
          <w:p>
            <w:pPr>
              <w:spacing w:after="0"/>
              <w:rPr>
                <w:sz w:val="18"/>
                <w:szCs w:val="18"/>
                <w:color w:val="auto"/>
              </w:rPr>
            </w:pPr>
          </w:p>
        </w:tc>
        <w:tc>
          <w:tcPr>
            <w:tcW w:w="1260" w:type="dxa"/>
            <w:vAlign w:val="bottom"/>
            <w:gridSpan w:val="3"/>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300" w:type="dxa"/>
            <w:vAlign w:val="bottom"/>
          </w:tcPr>
          <w:p>
            <w:pPr>
              <w:spacing w:after="0"/>
              <w:rPr>
                <w:sz w:val="19"/>
                <w:szCs w:val="19"/>
                <w:color w:val="auto"/>
              </w:rPr>
            </w:pPr>
          </w:p>
        </w:tc>
        <w:tc>
          <w:tcPr>
            <w:tcW w:w="6200" w:type="dxa"/>
            <w:vAlign w:val="bottom"/>
          </w:tcPr>
          <w:p>
            <w:pPr>
              <w:jc w:val="center"/>
              <w:ind w:left="50"/>
              <w:spacing w:after="0"/>
              <w:rPr>
                <w:sz w:val="20"/>
                <w:szCs w:val="20"/>
                <w:color w:val="auto"/>
              </w:rPr>
            </w:pPr>
            <w:r>
              <w:rPr>
                <w:rFonts w:ascii="Arial" w:cs="Arial" w:eastAsia="Arial" w:hAnsi="Arial"/>
                <w:sz w:val="18"/>
                <w:szCs w:val="18"/>
                <w:color w:val="auto"/>
                <w:w w:val="89"/>
              </w:rPr>
              <w:t>10</w:t>
            </w: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1260" w:type="dxa"/>
            <w:vAlign w:val="bottom"/>
            <w:gridSpan w:val="3"/>
          </w:tcPr>
          <w:p>
            <w:pPr>
              <w:jc w:val="right"/>
              <w:ind w:right="80"/>
              <w:spacing w:after="0"/>
              <w:rPr>
                <w:sz w:val="20"/>
                <w:szCs w:val="20"/>
                <w:color w:val="auto"/>
              </w:rPr>
            </w:pPr>
            <w:r>
              <w:rPr>
                <w:rFonts w:ascii="Arial" w:cs="Arial" w:eastAsia="Arial" w:hAnsi="Arial"/>
                <w:sz w:val="18"/>
                <w:szCs w:val="18"/>
                <w:color w:val="auto"/>
              </w:rPr>
              <w:t>-</w:t>
            </w:r>
          </w:p>
        </w:tc>
        <w:tc>
          <w:tcPr>
            <w:tcW w:w="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300" w:type="dxa"/>
            <w:vAlign w:val="bottom"/>
          </w:tcPr>
          <w:p>
            <w:pPr>
              <w:spacing w:after="0"/>
              <w:rPr>
                <w:sz w:val="19"/>
                <w:szCs w:val="19"/>
                <w:color w:val="auto"/>
              </w:rPr>
            </w:pPr>
          </w:p>
        </w:tc>
        <w:tc>
          <w:tcPr>
            <w:tcW w:w="6400" w:type="dxa"/>
            <w:vAlign w:val="bottom"/>
            <w:tcBorders>
              <w:top w:val="single" w:sz="8" w:color="CCEEFF"/>
              <w:bottom w:val="single" w:sz="8" w:color="CCEEFF"/>
            </w:tcBorders>
            <w:gridSpan w:val="3"/>
            <w:shd w:val="clear" w:color="auto" w:fill="CCEEFF"/>
          </w:tcPr>
          <w:p>
            <w:pPr>
              <w:jc w:val="center"/>
              <w:ind w:right="80"/>
              <w:spacing w:after="0"/>
              <w:rPr>
                <w:sz w:val="20"/>
                <w:szCs w:val="20"/>
                <w:color w:val="auto"/>
              </w:rPr>
            </w:pPr>
            <w:r>
              <w:rPr>
                <w:rFonts w:ascii="Arial" w:cs="Arial" w:eastAsia="Arial" w:hAnsi="Arial"/>
                <w:sz w:val="18"/>
                <w:szCs w:val="18"/>
                <w:color w:val="auto"/>
                <w:w w:val="89"/>
              </w:rPr>
              <w:t>Total</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292,749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447,450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300" w:type="dxa"/>
            <w:vAlign w:val="bottom"/>
          </w:tcPr>
          <w:p>
            <w:pPr>
              <w:spacing w:after="0" w:line="20" w:lineRule="exact"/>
              <w:rPr>
                <w:sz w:val="1"/>
                <w:szCs w:val="1"/>
                <w:color w:val="auto"/>
              </w:rPr>
            </w:pPr>
          </w:p>
        </w:tc>
        <w:tc>
          <w:tcPr>
            <w:tcW w:w="6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5" w:lineRule="exact"/>
        <w:rPr>
          <w:sz w:val="20"/>
          <w:szCs w:val="20"/>
          <w:color w:val="auto"/>
        </w:rPr>
      </w:pPr>
    </w:p>
    <w:p>
      <w:pPr>
        <w:ind w:left="1800"/>
        <w:spacing w:after="0"/>
        <w:rPr>
          <w:sz w:val="20"/>
          <w:szCs w:val="20"/>
          <w:color w:val="auto"/>
        </w:rPr>
      </w:pPr>
      <w:r>
        <w:rPr>
          <w:rFonts w:ascii="Arial" w:cs="Arial" w:eastAsia="Arial" w:hAnsi="Arial"/>
          <w:sz w:val="30"/>
          <w:szCs w:val="30"/>
          <w:color w:val="auto"/>
          <w:vertAlign w:val="superscript"/>
        </w:rPr>
        <w:t>(1)</w:t>
      </w:r>
      <w:r>
        <w:rPr>
          <w:rFonts w:ascii="Arial" w:cs="Arial" w:eastAsia="Arial" w:hAnsi="Arial"/>
          <w:sz w:val="18"/>
          <w:szCs w:val="18"/>
          <w:color w:val="auto"/>
        </w:rPr>
        <w:t xml:space="preserve"> Current ratings as of September 30, 2016 and December 31, 2015, respectively.</w:t>
      </w:r>
    </w:p>
    <w:p>
      <w:pPr>
        <w:spacing w:after="0" w:line="124"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50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50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39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9" w:name="page30"/>
    <w:bookmarkEnd w:id="2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2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As of September 30, 2016 and December 31, 2015 the breakdown of the Bank’s off-balance sheet exposure by country risk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3400" w:type="dxa"/>
            <w:vAlign w:val="bottom"/>
          </w:tcPr>
          <w:p>
            <w:pPr>
              <w:spacing w:after="0"/>
              <w:rPr>
                <w:sz w:val="18"/>
                <w:szCs w:val="18"/>
                <w:color w:val="auto"/>
              </w:rPr>
            </w:pPr>
          </w:p>
        </w:tc>
        <w:tc>
          <w:tcPr>
            <w:tcW w:w="4220" w:type="dxa"/>
            <w:vAlign w:val="bottom"/>
          </w:tcPr>
          <w:p>
            <w:pPr>
              <w:spacing w:after="0"/>
              <w:rPr>
                <w:sz w:val="18"/>
                <w:szCs w:val="18"/>
                <w:color w:val="auto"/>
              </w:rPr>
            </w:pPr>
          </w:p>
        </w:tc>
        <w:tc>
          <w:tcPr>
            <w:tcW w:w="1620" w:type="dxa"/>
            <w:vAlign w:val="bottom"/>
            <w:gridSpan w:val="2"/>
          </w:tcPr>
          <w:p>
            <w:pPr>
              <w:ind w:left="140"/>
              <w:spacing w:after="0"/>
              <w:rPr>
                <w:sz w:val="20"/>
                <w:szCs w:val="20"/>
                <w:color w:val="auto"/>
              </w:rPr>
            </w:pPr>
            <w:r>
              <w:rPr>
                <w:rFonts w:ascii="Arial" w:cs="Arial" w:eastAsia="Arial" w:hAnsi="Arial"/>
                <w:sz w:val="18"/>
                <w:szCs w:val="18"/>
                <w:b w:val="1"/>
                <w:bCs w:val="1"/>
                <w:color w:val="auto"/>
              </w:rPr>
              <w:t>September 30,</w:t>
            </w:r>
          </w:p>
        </w:tc>
        <w:tc>
          <w:tcPr>
            <w:tcW w:w="14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December 31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400" w:type="dxa"/>
            <w:vAlign w:val="bottom"/>
          </w:tcPr>
          <w:p>
            <w:pPr>
              <w:spacing w:after="0"/>
              <w:rPr>
                <w:sz w:val="20"/>
                <w:szCs w:val="20"/>
                <w:color w:val="auto"/>
              </w:rPr>
            </w:pPr>
          </w:p>
        </w:tc>
        <w:tc>
          <w:tcPr>
            <w:tcW w:w="5620" w:type="dxa"/>
            <w:vAlign w:val="bottom"/>
            <w:gridSpan w:val="2"/>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20" w:type="dxa"/>
            <w:vAlign w:val="bottom"/>
          </w:tcPr>
          <w:p>
            <w:pPr>
              <w:spacing w:after="0"/>
              <w:rPr>
                <w:sz w:val="20"/>
                <w:szCs w:val="20"/>
                <w:color w:val="auto"/>
              </w:rPr>
            </w:pPr>
          </w:p>
        </w:tc>
        <w:tc>
          <w:tcPr>
            <w:tcW w:w="1380" w:type="dxa"/>
            <w:vAlign w:val="bottom"/>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4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10,145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158</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1,261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Brazil</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17,291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85,831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96,085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Costa Rica</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4,005</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5,183</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4,527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Ecuador</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90,352</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88,585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Guatemala</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1,300</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484</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876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Mexico</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13,727</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46,994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70,368</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136,022</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5</w:t>
            </w:r>
          </w:p>
        </w:tc>
        <w:tc>
          <w:tcPr>
            <w:tcW w:w="1380" w:type="dxa"/>
            <w:vAlign w:val="bottom"/>
          </w:tcPr>
          <w:p>
            <w:pPr>
              <w:jc w:val="right"/>
              <w:spacing w:after="0"/>
              <w:rPr>
                <w:sz w:val="20"/>
                <w:szCs w:val="20"/>
                <w:color w:val="auto"/>
              </w:rPr>
            </w:pPr>
            <w:r>
              <w:rPr>
                <w:rFonts w:ascii="Arial" w:cs="Arial" w:eastAsia="Arial" w:hAnsi="Arial"/>
                <w:sz w:val="18"/>
                <w:szCs w:val="18"/>
                <w:color w:val="auto"/>
              </w:rPr>
              <w:t>43</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20,241</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19,018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Singapore</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00"/>
              <w:spacing w:after="0"/>
              <w:rPr>
                <w:sz w:val="20"/>
                <w:szCs w:val="20"/>
                <w:color w:val="auto"/>
              </w:rPr>
            </w:pPr>
            <w:r>
              <w:rPr>
                <w:rFonts w:ascii="Arial" w:cs="Arial" w:eastAsia="Arial" w:hAnsi="Arial"/>
                <w:sz w:val="18"/>
                <w:szCs w:val="18"/>
                <w:color w:val="auto"/>
              </w:rPr>
              <w:t>25,000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1,000</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00" w:type="dxa"/>
            <w:vAlign w:val="bottom"/>
          </w:tcPr>
          <w:p>
            <w:pPr>
              <w:ind w:left="160"/>
              <w:spacing w:after="0"/>
              <w:rPr>
                <w:sz w:val="20"/>
                <w:szCs w:val="20"/>
                <w:color w:val="auto"/>
              </w:rPr>
            </w:pPr>
            <w:r>
              <w:rPr>
                <w:rFonts w:ascii="Arial" w:cs="Arial" w:eastAsia="Arial" w:hAnsi="Arial"/>
                <w:sz w:val="18"/>
                <w:szCs w:val="18"/>
                <w:color w:val="auto"/>
              </w:rPr>
              <w:t>United Kingdom</w:t>
            </w:r>
          </w:p>
        </w:tc>
        <w:tc>
          <w:tcPr>
            <w:tcW w:w="5840" w:type="dxa"/>
            <w:vAlign w:val="bottom"/>
            <w:gridSpan w:val="3"/>
          </w:tcPr>
          <w:p>
            <w:pPr>
              <w:jc w:val="right"/>
              <w:ind w:right="220"/>
              <w:spacing w:after="0"/>
              <w:rPr>
                <w:sz w:val="20"/>
                <w:szCs w:val="20"/>
                <w:color w:val="auto"/>
              </w:rPr>
            </w:pPr>
            <w:r>
              <w:rPr>
                <w:rFonts w:ascii="Arial" w:cs="Arial" w:eastAsia="Arial" w:hAnsi="Arial"/>
                <w:sz w:val="18"/>
                <w:szCs w:val="18"/>
                <w:color w:val="auto"/>
              </w:rPr>
              <w:t>70</w:t>
            </w:r>
          </w:p>
        </w:tc>
        <w:tc>
          <w:tcPr>
            <w:tcW w:w="1380" w:type="dxa"/>
            <w:vAlign w:val="bottom"/>
          </w:tcPr>
          <w:p>
            <w:pPr>
              <w:jc w:val="right"/>
              <w:spacing w:after="0"/>
              <w:rPr>
                <w:sz w:val="20"/>
                <w:szCs w:val="20"/>
                <w:color w:val="auto"/>
              </w:rPr>
            </w:pPr>
            <w:r>
              <w:rPr>
                <w:rFonts w:ascii="Arial" w:cs="Arial" w:eastAsia="Arial" w:hAnsi="Arial"/>
                <w:sz w:val="18"/>
                <w:szCs w:val="18"/>
                <w:color w:val="auto"/>
              </w:rPr>
              <w:t>70</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584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400" w:type="dxa"/>
            <w:vAlign w:val="bottom"/>
          </w:tcPr>
          <w:p>
            <w:pPr>
              <w:spacing w:after="0"/>
              <w:rPr>
                <w:sz w:val="20"/>
                <w:szCs w:val="20"/>
                <w:color w:val="auto"/>
              </w:rPr>
            </w:pPr>
            <w:r>
              <w:rPr>
                <w:rFonts w:ascii="Arial" w:cs="Arial" w:eastAsia="Arial" w:hAnsi="Arial"/>
                <w:sz w:val="18"/>
                <w:szCs w:val="18"/>
                <w:color w:val="auto"/>
              </w:rPr>
              <w:t>Total</w:t>
            </w:r>
          </w:p>
        </w:tc>
        <w:tc>
          <w:tcPr>
            <w:tcW w:w="4220" w:type="dxa"/>
            <w:vAlign w:val="bottom"/>
          </w:tcPr>
          <w:p>
            <w:pPr>
              <w:spacing w:after="0"/>
              <w:rPr>
                <w:sz w:val="19"/>
                <w:szCs w:val="19"/>
                <w:color w:val="auto"/>
              </w:rPr>
            </w:pPr>
          </w:p>
        </w:tc>
        <w:tc>
          <w:tcPr>
            <w:tcW w:w="14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292,749</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447,450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400" w:type="dxa"/>
            <w:vAlign w:val="bottom"/>
          </w:tcPr>
          <w:p>
            <w:pPr>
              <w:spacing w:after="0" w:line="20" w:lineRule="exact"/>
              <w:rPr>
                <w:sz w:val="1"/>
                <w:szCs w:val="1"/>
                <w:color w:val="auto"/>
              </w:rPr>
            </w:pPr>
          </w:p>
        </w:tc>
        <w:tc>
          <w:tcPr>
            <w:tcW w:w="4220" w:type="dxa"/>
            <w:vAlign w:val="bottom"/>
            <w:vMerge w:val="restart"/>
          </w:tcPr>
          <w:p>
            <w:pPr>
              <w:jc w:val="right"/>
              <w:ind w:right="2190"/>
              <w:spacing w:after="0"/>
              <w:rPr>
                <w:sz w:val="20"/>
                <w:szCs w:val="20"/>
                <w:color w:val="auto"/>
              </w:rPr>
            </w:pPr>
            <w:r>
              <w:rPr>
                <w:rFonts w:ascii="Arial" w:cs="Arial" w:eastAsia="Arial" w:hAnsi="Arial"/>
                <w:sz w:val="18"/>
                <w:szCs w:val="18"/>
                <w:color w:val="auto"/>
              </w:rPr>
              <w:t>28</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0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0" w:name="page31"/>
    <w:bookmarkEnd w:id="3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2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4.7   Instruments with off-balance sheet credit risk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The allowances for credit losses related to instruments with off-balance sheet credit risk at September 30, 2016 and December 31, 2015 are as follows:</w:t>
      </w:r>
    </w:p>
    <w:p>
      <w:pPr>
        <w:spacing w:after="0" w:line="156" w:lineRule="exact"/>
        <w:rPr>
          <w:sz w:val="20"/>
          <w:szCs w:val="20"/>
          <w:color w:val="auto"/>
        </w:rPr>
      </w:pPr>
    </w:p>
    <w:tbl>
      <w:tblPr>
        <w:tblLayout w:type="fixed"/>
        <w:tblInd w:w="500" w:type="dxa"/>
        <w:tblCellMar>
          <w:top w:w="0" w:type="dxa"/>
          <w:left w:w="0" w:type="dxa"/>
          <w:bottom w:w="0" w:type="dxa"/>
          <w:right w:w="0" w:type="dxa"/>
        </w:tblCellMar>
      </w:tblPr>
      <w:tr>
        <w:trPr>
          <w:trHeight w:val="345"/>
        </w:trPr>
        <w:tc>
          <w:tcPr>
            <w:tcW w:w="38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18"/>
                <w:szCs w:val="18"/>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(collectively</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(individually</w:t>
            </w:r>
          </w:p>
        </w:tc>
        <w:tc>
          <w:tcPr>
            <w:tcW w:w="138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assessed)</w:t>
            </w:r>
          </w:p>
        </w:tc>
        <w:tc>
          <w:tcPr>
            <w:tcW w:w="1420" w:type="dxa"/>
            <w:vAlign w:val="bottom"/>
            <w:gridSpan w:val="2"/>
          </w:tcPr>
          <w:p>
            <w:pPr>
              <w:ind w:left="260"/>
              <w:spacing w:after="0"/>
              <w:rPr>
                <w:sz w:val="20"/>
                <w:szCs w:val="20"/>
                <w:color w:val="auto"/>
              </w:rPr>
            </w:pPr>
            <w:r>
              <w:rPr>
                <w:rFonts w:ascii="Arial" w:cs="Arial" w:eastAsia="Arial" w:hAnsi="Arial"/>
                <w:sz w:val="18"/>
                <w:szCs w:val="18"/>
                <w:b w:val="1"/>
                <w:bCs w:val="1"/>
                <w:color w:val="auto"/>
              </w:rPr>
              <w:t>assessed)</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2,914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333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2,177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5,424</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(646)</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209</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484</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47</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effect of changes in reserve for expected credit</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loss</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(401)</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(216)</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1,148</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860" w:type="dxa"/>
            <w:vAlign w:val="bottom"/>
          </w:tcPr>
          <w:p>
            <w:pPr>
              <w:spacing w:after="0" w:line="201" w:lineRule="exact"/>
              <w:rPr>
                <w:sz w:val="20"/>
                <w:szCs w:val="20"/>
                <w:color w:val="auto"/>
              </w:rPr>
            </w:pPr>
            <w:r>
              <w:rPr>
                <w:rFonts w:ascii="Arial" w:cs="Arial" w:eastAsia="Arial" w:hAnsi="Arial"/>
                <w:sz w:val="18"/>
                <w:szCs w:val="18"/>
                <w:color w:val="auto"/>
                <w:w w:val="92"/>
              </w:rPr>
              <w:t>Instruments that have been derecognized during the</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tcPr>
          <w:p>
            <w:pPr>
              <w:ind w:left="60"/>
              <w:spacing w:after="0"/>
              <w:rPr>
                <w:sz w:val="20"/>
                <w:szCs w:val="20"/>
                <w:color w:val="auto"/>
              </w:rPr>
            </w:pPr>
            <w:r>
              <w:rPr>
                <w:rFonts w:ascii="Arial" w:cs="Arial" w:eastAsia="Arial" w:hAnsi="Arial"/>
                <w:sz w:val="18"/>
                <w:szCs w:val="18"/>
                <w:color w:val="auto"/>
              </w:rPr>
              <w:t>period</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(2,408)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(252)</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(2,660)</w:t>
            </w:r>
          </w:p>
        </w:tc>
        <w:tc>
          <w:tcPr>
            <w:tcW w:w="0" w:type="dxa"/>
            <w:vAlign w:val="bottom"/>
          </w:tcPr>
          <w:p>
            <w:pPr>
              <w:spacing w:after="0"/>
              <w:rPr>
                <w:sz w:val="1"/>
                <w:szCs w:val="1"/>
                <w:color w:val="auto"/>
              </w:rPr>
            </w:pPr>
          </w:p>
        </w:tc>
      </w:tr>
      <w:tr>
        <w:trPr>
          <w:trHeight w:val="182"/>
        </w:trPr>
        <w:tc>
          <w:tcPr>
            <w:tcW w:w="386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rPr>
              <w:t>Changes due to instruments recognized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December 31, 2015: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(3,455)</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(259)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2,249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(1,465)</w:t>
            </w:r>
          </w:p>
        </w:tc>
        <w:tc>
          <w:tcPr>
            <w:tcW w:w="0" w:type="dxa"/>
            <w:vAlign w:val="bottom"/>
          </w:tcPr>
          <w:p>
            <w:pPr>
              <w:spacing w:after="0"/>
              <w:rPr>
                <w:sz w:val="1"/>
                <w:szCs w:val="1"/>
                <w:color w:val="auto"/>
              </w:rPr>
            </w:pPr>
          </w:p>
        </w:tc>
      </w:tr>
      <w:tr>
        <w:trPr>
          <w:trHeight w:val="230"/>
        </w:trPr>
        <w:tc>
          <w:tcPr>
            <w:tcW w:w="386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1,407</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1,407</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September 30, 2016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866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74</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4,426</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2"/>
                <w:szCs w:val="22"/>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5,366</w:t>
            </w:r>
          </w:p>
        </w:tc>
        <w:tc>
          <w:tcPr>
            <w:tcW w:w="10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86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5"/>
        </w:trPr>
        <w:tc>
          <w:tcPr>
            <w:tcW w:w="38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3"/>
              </w:rPr>
              <w:t xml:space="preserve">Stage 2 </w:t>
            </w:r>
            <w:r>
              <w:rPr>
                <w:rFonts w:ascii="Arial" w:cs="Arial" w:eastAsia="Arial" w:hAnsi="Arial"/>
                <w:sz w:val="30"/>
                <w:szCs w:val="30"/>
                <w:b w:val="1"/>
                <w:bCs w:val="1"/>
                <w:color w:val="auto"/>
                <w:w w:val="83"/>
                <w:vertAlign w:val="superscript"/>
              </w:rPr>
              <w:t>(2)</w:t>
            </w:r>
          </w:p>
        </w:tc>
        <w:tc>
          <w:tcPr>
            <w:tcW w:w="14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1"/>
              </w:rPr>
              <w:t xml:space="preserve">Stage 2 </w:t>
            </w:r>
            <w:r>
              <w:rPr>
                <w:rFonts w:ascii="Arial" w:cs="Arial" w:eastAsia="Arial" w:hAnsi="Arial"/>
                <w:sz w:val="30"/>
                <w:szCs w:val="30"/>
                <w:b w:val="1"/>
                <w:bCs w:val="1"/>
                <w:color w:val="auto"/>
                <w:w w:val="81"/>
                <w:vertAlign w:val="superscript"/>
              </w:rPr>
              <w:t>(2)</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18"/>
                <w:szCs w:val="18"/>
                <w:color w:val="auto"/>
              </w:rPr>
            </w:pPr>
          </w:p>
        </w:tc>
        <w:tc>
          <w:tcPr>
            <w:tcW w:w="1400" w:type="dxa"/>
            <w:vAlign w:val="bottom"/>
            <w:gridSpan w:val="2"/>
            <w:vMerge w:val="restart"/>
          </w:tcPr>
          <w:p>
            <w:pPr>
              <w:jc w:val="right"/>
              <w:ind w:right="420"/>
              <w:spacing w:after="0"/>
              <w:rPr>
                <w:sz w:val="20"/>
                <w:szCs w:val="20"/>
                <w:color w:val="auto"/>
              </w:rPr>
            </w:pPr>
            <w:r>
              <w:rPr>
                <w:rFonts w:ascii="Arial" w:cs="Arial" w:eastAsia="Arial" w:hAnsi="Arial"/>
                <w:sz w:val="18"/>
                <w:szCs w:val="18"/>
                <w:b w:val="1"/>
                <w:bCs w:val="1"/>
                <w:color w:val="auto"/>
              </w:rPr>
              <w:t xml:space="preserve">Stage 1 </w:t>
            </w:r>
            <w:r>
              <w:rPr>
                <w:rFonts w:ascii="Arial" w:cs="Arial" w:eastAsia="Arial" w:hAnsi="Arial"/>
                <w:sz w:val="30"/>
                <w:szCs w:val="30"/>
                <w:b w:val="1"/>
                <w:bCs w:val="1"/>
                <w:color w:val="auto"/>
                <w:vertAlign w:val="superscript"/>
              </w:rPr>
              <w:t>(1)</w:t>
            </w: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7"/>
              </w:rPr>
              <w:t>(collectively</w:t>
            </w:r>
          </w:p>
        </w:tc>
        <w:tc>
          <w:tcPr>
            <w:tcW w:w="142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(individually</w:t>
            </w:r>
          </w:p>
        </w:tc>
        <w:tc>
          <w:tcPr>
            <w:tcW w:w="1380" w:type="dxa"/>
            <w:vAlign w:val="bottom"/>
            <w:gridSpan w:val="2"/>
            <w:vMerge w:val="restart"/>
          </w:tcPr>
          <w:p>
            <w:pPr>
              <w:ind w:left="200"/>
              <w:spacing w:after="0"/>
              <w:rPr>
                <w:sz w:val="20"/>
                <w:szCs w:val="20"/>
                <w:color w:val="auto"/>
              </w:rPr>
            </w:pPr>
            <w:r>
              <w:rPr>
                <w:rFonts w:ascii="Arial" w:cs="Arial" w:eastAsia="Arial" w:hAnsi="Arial"/>
                <w:sz w:val="18"/>
                <w:szCs w:val="18"/>
                <w:b w:val="1"/>
                <w:bCs w:val="1"/>
                <w:color w:val="auto"/>
              </w:rPr>
              <w:t xml:space="preserve">Stage 3 </w:t>
            </w:r>
            <w:r>
              <w:rPr>
                <w:rFonts w:ascii="Arial" w:cs="Arial" w:eastAsia="Arial" w:hAnsi="Arial"/>
                <w:sz w:val="30"/>
                <w:szCs w:val="30"/>
                <w:b w:val="1"/>
                <w:bCs w:val="1"/>
                <w:color w:val="auto"/>
                <w:vertAlign w:val="superscript"/>
              </w:rPr>
              <w:t>(3)</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86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14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assessed)</w:t>
            </w:r>
          </w:p>
        </w:tc>
        <w:tc>
          <w:tcPr>
            <w:tcW w:w="1420" w:type="dxa"/>
            <w:vAlign w:val="bottom"/>
            <w:gridSpan w:val="2"/>
          </w:tcPr>
          <w:p>
            <w:pPr>
              <w:ind w:left="260"/>
              <w:spacing w:after="0"/>
              <w:rPr>
                <w:sz w:val="20"/>
                <w:szCs w:val="20"/>
                <w:color w:val="auto"/>
              </w:rPr>
            </w:pPr>
            <w:r>
              <w:rPr>
                <w:rFonts w:ascii="Arial" w:cs="Arial" w:eastAsia="Arial" w:hAnsi="Arial"/>
                <w:sz w:val="18"/>
                <w:szCs w:val="18"/>
                <w:b w:val="1"/>
                <w:bCs w:val="1"/>
                <w:color w:val="auto"/>
              </w:rPr>
              <w:t>assessed)</w:t>
            </w:r>
          </w:p>
        </w:tc>
        <w:tc>
          <w:tcPr>
            <w:tcW w:w="1380" w:type="dxa"/>
            <w:vAlign w:val="bottom"/>
            <w:gridSpan w:val="2"/>
            <w:vMerge w:val="continue"/>
          </w:tcPr>
          <w:p>
            <w:pPr>
              <w:spacing w:after="0"/>
              <w:rPr>
                <w:sz w:val="20"/>
                <w:szCs w:val="20"/>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78"/>
        </w:trPr>
        <w:tc>
          <w:tcPr>
            <w:tcW w:w="3860" w:type="dxa"/>
            <w:vAlign w:val="bottom"/>
            <w:tcBorders>
              <w:top w:val="single" w:sz="8" w:color="CCEEFF"/>
            </w:tcBorders>
            <w:shd w:val="clear" w:color="auto" w:fill="CCEEFF"/>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18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16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4"/>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b w:val="1"/>
                <w:bCs w:val="1"/>
                <w:color w:val="auto"/>
              </w:rPr>
              <w:t>December 31, 2014</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7,079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2,794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9,873</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(2,177)</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2,177</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Transfer to credit-impaired instruments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860" w:type="dxa"/>
            <w:vAlign w:val="bottom"/>
          </w:tcPr>
          <w:p>
            <w:pPr>
              <w:spacing w:after="0"/>
              <w:rPr>
                <w:sz w:val="20"/>
                <w:szCs w:val="20"/>
                <w:color w:val="auto"/>
              </w:rPr>
            </w:pPr>
            <w:r>
              <w:rPr>
                <w:rFonts w:ascii="Arial" w:cs="Arial" w:eastAsia="Arial" w:hAnsi="Arial"/>
                <w:sz w:val="18"/>
                <w:szCs w:val="18"/>
                <w:color w:val="auto"/>
              </w:rPr>
              <w:t>Transfer to 12-month expected credit losses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8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2"/>
              </w:rPr>
              <w:t>Instruments that have been derecognized during the</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860" w:type="dxa"/>
            <w:vAlign w:val="bottom"/>
            <w:shd w:val="clear" w:color="auto" w:fill="CCEEFF"/>
          </w:tcPr>
          <w:p>
            <w:pPr>
              <w:ind w:left="60"/>
              <w:spacing w:after="0"/>
              <w:rPr>
                <w:sz w:val="20"/>
                <w:szCs w:val="20"/>
                <w:color w:val="auto"/>
              </w:rPr>
            </w:pPr>
            <w:r>
              <w:rPr>
                <w:rFonts w:ascii="Arial" w:cs="Arial" w:eastAsia="Arial" w:hAnsi="Arial"/>
                <w:sz w:val="18"/>
                <w:szCs w:val="18"/>
                <w:color w:val="auto"/>
              </w:rPr>
              <w:t>period</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(6,908)</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(7,192)</w:t>
            </w:r>
          </w:p>
        </w:tc>
        <w:tc>
          <w:tcPr>
            <w:tcW w:w="0" w:type="dxa"/>
            <w:vAlign w:val="bottom"/>
          </w:tcPr>
          <w:p>
            <w:pPr>
              <w:spacing w:after="0"/>
              <w:rPr>
                <w:sz w:val="1"/>
                <w:szCs w:val="1"/>
                <w:color w:val="auto"/>
              </w:rPr>
            </w:pPr>
          </w:p>
        </w:tc>
      </w:tr>
      <w:tr>
        <w:trPr>
          <w:trHeight w:val="182"/>
        </w:trPr>
        <w:tc>
          <w:tcPr>
            <w:tcW w:w="3860" w:type="dxa"/>
            <w:vAlign w:val="bottom"/>
          </w:tcPr>
          <w:p>
            <w:pPr>
              <w:spacing w:after="0" w:line="182" w:lineRule="exact"/>
              <w:rPr>
                <w:sz w:val="20"/>
                <w:szCs w:val="20"/>
                <w:color w:val="auto"/>
              </w:rPr>
            </w:pPr>
            <w:r>
              <w:rPr>
                <w:rFonts w:ascii="Arial" w:cs="Arial" w:eastAsia="Arial" w:hAnsi="Arial"/>
                <w:sz w:val="18"/>
                <w:szCs w:val="18"/>
                <w:color w:val="auto"/>
              </w:rPr>
              <w:t>Changes due to instruments recognized as of</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3860" w:type="dxa"/>
            <w:vAlign w:val="bottom"/>
          </w:tcPr>
          <w:p>
            <w:pPr>
              <w:ind w:left="60"/>
              <w:spacing w:after="0"/>
              <w:rPr>
                <w:sz w:val="20"/>
                <w:szCs w:val="20"/>
                <w:color w:val="auto"/>
              </w:rPr>
            </w:pPr>
            <w:r>
              <w:rPr>
                <w:rFonts w:ascii="Arial" w:cs="Arial" w:eastAsia="Arial" w:hAnsi="Arial"/>
                <w:sz w:val="18"/>
                <w:szCs w:val="18"/>
                <w:color w:val="auto"/>
              </w:rPr>
              <w:t>December 31, 2014:</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(6,908)</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(2,461)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2,177</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60" w:type="dxa"/>
            <w:vAlign w:val="bottom"/>
            <w:gridSpan w:val="2"/>
          </w:tcPr>
          <w:p>
            <w:pPr>
              <w:jc w:val="right"/>
              <w:ind w:right="40"/>
              <w:spacing w:after="0"/>
              <w:rPr>
                <w:sz w:val="20"/>
                <w:szCs w:val="20"/>
                <w:color w:val="auto"/>
              </w:rPr>
            </w:pPr>
            <w:r>
              <w:rPr>
                <w:rFonts w:ascii="Arial" w:cs="Arial" w:eastAsia="Arial" w:hAnsi="Arial"/>
                <w:sz w:val="18"/>
                <w:szCs w:val="18"/>
                <w:color w:val="auto"/>
              </w:rPr>
              <w:t>(7,192)</w:t>
            </w:r>
          </w:p>
        </w:tc>
        <w:tc>
          <w:tcPr>
            <w:tcW w:w="0" w:type="dxa"/>
            <w:vAlign w:val="bottom"/>
          </w:tcPr>
          <w:p>
            <w:pPr>
              <w:spacing w:after="0"/>
              <w:rPr>
                <w:sz w:val="1"/>
                <w:szCs w:val="1"/>
                <w:color w:val="auto"/>
              </w:rPr>
            </w:pPr>
          </w:p>
        </w:tc>
      </w:tr>
      <w:tr>
        <w:trPr>
          <w:trHeight w:val="230"/>
        </w:trPr>
        <w:tc>
          <w:tcPr>
            <w:tcW w:w="3860" w:type="dxa"/>
            <w:vAlign w:val="bottom"/>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2,743</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2,743</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78"/>
        </w:trPr>
        <w:tc>
          <w:tcPr>
            <w:tcW w:w="3860" w:type="dxa"/>
            <w:vAlign w:val="bottom"/>
          </w:tcPr>
          <w:p>
            <w:pPr>
              <w:spacing w:after="0" w:line="178" w:lineRule="exact"/>
              <w:rPr>
                <w:sz w:val="20"/>
                <w:szCs w:val="20"/>
                <w:color w:val="auto"/>
              </w:rPr>
            </w:pPr>
            <w:r>
              <w:rPr>
                <w:rFonts w:ascii="Arial" w:cs="Arial" w:eastAsia="Arial" w:hAnsi="Arial"/>
                <w:sz w:val="18"/>
                <w:szCs w:val="18"/>
                <w:b w:val="1"/>
                <w:bCs w:val="1"/>
                <w:color w:val="auto"/>
              </w:rPr>
              <w:t>Allowance for expected credit losses as of</w:t>
            </w: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61"/>
        </w:trPr>
        <w:tc>
          <w:tcPr>
            <w:tcW w:w="3860" w:type="dxa"/>
            <w:vAlign w:val="bottom"/>
          </w:tcPr>
          <w:p>
            <w:pPr>
              <w:ind w:left="60"/>
              <w:spacing w:after="0"/>
              <w:rPr>
                <w:sz w:val="20"/>
                <w:szCs w:val="20"/>
                <w:color w:val="auto"/>
              </w:rPr>
            </w:pPr>
            <w:r>
              <w:rPr>
                <w:rFonts w:ascii="Arial" w:cs="Arial" w:eastAsia="Arial" w:hAnsi="Arial"/>
                <w:sz w:val="18"/>
                <w:szCs w:val="18"/>
                <w:b w:val="1"/>
                <w:bCs w:val="1"/>
                <w:color w:val="auto"/>
              </w:rPr>
              <w:t>December 31, 2015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2,914</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333</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2,177</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5,424</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38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4" w:lineRule="exact"/>
        <w:rPr>
          <w:sz w:val="20"/>
          <w:szCs w:val="20"/>
          <w:color w:val="auto"/>
        </w:rPr>
      </w:pPr>
    </w:p>
    <w:p>
      <w:pPr>
        <w:ind w:left="1060" w:hanging="323"/>
        <w:spacing w:after="0"/>
        <w:tabs>
          <w:tab w:leader="none" w:pos="1060" w:val="left"/>
        </w:tabs>
        <w:numPr>
          <w:ilvl w:val="0"/>
          <w:numId w:val="29"/>
        </w:numPr>
        <w:rPr>
          <w:rFonts w:ascii="Arial" w:cs="Arial" w:eastAsia="Arial" w:hAnsi="Arial"/>
          <w:sz w:val="30"/>
          <w:szCs w:val="30"/>
          <w:color w:val="auto"/>
          <w:vertAlign w:val="superscript"/>
        </w:rPr>
      </w:pPr>
      <w:r>
        <w:rPr>
          <w:rFonts w:ascii="Arial" w:cs="Arial" w:eastAsia="Arial" w:hAnsi="Arial"/>
          <w:sz w:val="18"/>
          <w:szCs w:val="18"/>
          <w:color w:val="auto"/>
        </w:rPr>
        <w:t>12-month expected credit losses</w:t>
      </w:r>
    </w:p>
    <w:p>
      <w:pPr>
        <w:spacing w:after="0" w:line="1" w:lineRule="exact"/>
        <w:rPr>
          <w:rFonts w:ascii="Arial" w:cs="Arial" w:eastAsia="Arial" w:hAnsi="Arial"/>
          <w:sz w:val="30"/>
          <w:szCs w:val="30"/>
          <w:color w:val="auto"/>
          <w:vertAlign w:val="superscript"/>
        </w:rPr>
      </w:pPr>
    </w:p>
    <w:p>
      <w:pPr>
        <w:ind w:left="1060" w:hanging="323"/>
        <w:spacing w:after="0" w:line="186" w:lineRule="auto"/>
        <w:tabs>
          <w:tab w:leader="none" w:pos="1060" w:val="left"/>
        </w:tabs>
        <w:numPr>
          <w:ilvl w:val="0"/>
          <w:numId w:val="29"/>
        </w:numPr>
        <w:rPr>
          <w:rFonts w:ascii="Arial" w:cs="Arial" w:eastAsia="Arial" w:hAnsi="Arial"/>
          <w:sz w:val="24"/>
          <w:szCs w:val="24"/>
          <w:b w:val="1"/>
          <w:bCs w:val="1"/>
          <w:color w:val="auto"/>
          <w:vertAlign w:val="superscript"/>
        </w:rPr>
      </w:pPr>
      <w:r>
        <w:rPr>
          <w:rFonts w:ascii="Arial" w:cs="Arial" w:eastAsia="Arial" w:hAnsi="Arial"/>
          <w:sz w:val="15"/>
          <w:szCs w:val="15"/>
          <w:color w:val="auto"/>
        </w:rPr>
        <w:t>Lifetime expected credit losses</w:t>
      </w:r>
    </w:p>
    <w:p>
      <w:pPr>
        <w:spacing w:after="0" w:line="2" w:lineRule="exact"/>
        <w:rPr>
          <w:rFonts w:ascii="Arial" w:cs="Arial" w:eastAsia="Arial" w:hAnsi="Arial"/>
          <w:sz w:val="24"/>
          <w:szCs w:val="24"/>
          <w:b w:val="1"/>
          <w:bCs w:val="1"/>
          <w:color w:val="auto"/>
          <w:vertAlign w:val="superscript"/>
        </w:rPr>
      </w:pPr>
    </w:p>
    <w:p>
      <w:pPr>
        <w:ind w:left="1060" w:hanging="323"/>
        <w:spacing w:after="0" w:line="186" w:lineRule="auto"/>
        <w:tabs>
          <w:tab w:leader="none" w:pos="1060" w:val="left"/>
        </w:tabs>
        <w:numPr>
          <w:ilvl w:val="0"/>
          <w:numId w:val="29"/>
        </w:numPr>
        <w:rPr>
          <w:rFonts w:ascii="Arial" w:cs="Arial" w:eastAsia="Arial" w:hAnsi="Arial"/>
          <w:sz w:val="24"/>
          <w:szCs w:val="24"/>
          <w:color w:val="auto"/>
          <w:vertAlign w:val="superscript"/>
        </w:rPr>
      </w:pPr>
      <w:r>
        <w:rPr>
          <w:rFonts w:ascii="Arial" w:cs="Arial" w:eastAsia="Arial" w:hAnsi="Arial"/>
          <w:sz w:val="15"/>
          <w:szCs w:val="15"/>
          <w:color w:val="auto"/>
        </w:rPr>
        <w:t>Credit-impaired instruments (lifetime expected credit losses)</w:t>
      </w:r>
    </w:p>
    <w:p>
      <w:pPr>
        <w:spacing w:after="0" w:line="202" w:lineRule="exact"/>
        <w:rPr>
          <w:sz w:val="20"/>
          <w:szCs w:val="20"/>
          <w:color w:val="auto"/>
        </w:rPr>
      </w:pPr>
    </w:p>
    <w:p>
      <w:pPr>
        <w:ind w:left="500"/>
        <w:spacing w:after="0" w:line="308" w:lineRule="auto"/>
        <w:rPr>
          <w:sz w:val="20"/>
          <w:szCs w:val="20"/>
          <w:color w:val="auto"/>
        </w:rPr>
      </w:pPr>
      <w:r>
        <w:rPr>
          <w:rFonts w:ascii="Arial" w:cs="Arial" w:eastAsia="Arial" w:hAnsi="Arial"/>
          <w:sz w:val="17"/>
          <w:szCs w:val="17"/>
          <w:color w:val="auto"/>
        </w:rPr>
        <w:t>The reserve for expected credit losses on off-balance sheet credit risk reflects the Bank’s Management estimate of expected credit losses on off-balance sheet credit risk items such as: confirmed letters of credit, stand-by letters of credit, guarantees and credit commitments.</w:t>
      </w:r>
    </w:p>
    <w:p>
      <w:pPr>
        <w:spacing w:after="0" w:line="363"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1" w:name="page32"/>
    <w:bookmarkEnd w:id="3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2016 and December 31, 2015, quantitative information on derivative financial instruments held for hedging purposes is as follows:</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526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740" w:type="dxa"/>
            <w:vAlign w:val="bottom"/>
            <w:tcBorders>
              <w:bottom w:val="single" w:sz="8" w:color="auto"/>
            </w:tcBorders>
            <w:gridSpan w:val="6"/>
          </w:tcPr>
          <w:p>
            <w:pPr>
              <w:jc w:val="center"/>
              <w:ind w:right="180"/>
              <w:spacing w:after="0"/>
              <w:rPr>
                <w:sz w:val="20"/>
                <w:szCs w:val="20"/>
                <w:color w:val="auto"/>
              </w:rPr>
            </w:pPr>
            <w:r>
              <w:rPr>
                <w:rFonts w:ascii="Arial" w:cs="Arial" w:eastAsia="Arial" w:hAnsi="Arial"/>
                <w:sz w:val="18"/>
                <w:szCs w:val="18"/>
                <w:b w:val="1"/>
                <w:bCs w:val="1"/>
                <w:color w:val="auto"/>
                <w:w w:val="90"/>
              </w:rPr>
              <w:t>September 30, 2016</w:t>
            </w:r>
          </w:p>
        </w:tc>
        <w:tc>
          <w:tcPr>
            <w:tcW w:w="4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526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2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8"/>
              </w:rPr>
              <w:t>value used for</w:t>
            </w: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40" w:type="dxa"/>
            <w:vAlign w:val="bottom"/>
            <w:gridSpan w:val="6"/>
          </w:tcPr>
          <w:p>
            <w:pPr>
              <w:jc w:val="center"/>
              <w:ind w:right="180"/>
              <w:spacing w:after="0"/>
              <w:rPr>
                <w:sz w:val="20"/>
                <w:szCs w:val="20"/>
                <w:color w:val="auto"/>
              </w:rPr>
            </w:pPr>
            <w:r>
              <w:rPr>
                <w:rFonts w:ascii="Arial" w:cs="Arial" w:eastAsia="Arial" w:hAnsi="Arial"/>
                <w:sz w:val="18"/>
                <w:szCs w:val="18"/>
                <w:b w:val="1"/>
                <w:bCs w:val="1"/>
                <w:color w:val="auto"/>
                <w:w w:val="92"/>
              </w:rPr>
              <w:t>Carrying amount of the</w:t>
            </w:r>
          </w:p>
        </w:tc>
        <w:tc>
          <w:tcPr>
            <w:tcW w:w="40" w:type="dxa"/>
            <w:vAlign w:val="bottom"/>
          </w:tcPr>
          <w:p>
            <w:pPr>
              <w:spacing w:after="0"/>
              <w:rPr>
                <w:sz w:val="18"/>
                <w:szCs w:val="18"/>
                <w:color w:val="auto"/>
              </w:rPr>
            </w:pPr>
          </w:p>
        </w:tc>
        <w:tc>
          <w:tcPr>
            <w:tcW w:w="1280" w:type="dxa"/>
            <w:vAlign w:val="bottom"/>
            <w:gridSpan w:val="3"/>
          </w:tcPr>
          <w:p>
            <w:pPr>
              <w:jc w:val="right"/>
              <w:ind w:right="300"/>
              <w:spacing w:after="0"/>
              <w:rPr>
                <w:sz w:val="20"/>
                <w:szCs w:val="20"/>
                <w:color w:val="auto"/>
              </w:rPr>
            </w:pPr>
            <w:r>
              <w:rPr>
                <w:rFonts w:ascii="Arial" w:cs="Arial" w:eastAsia="Arial" w:hAnsi="Arial"/>
                <w:sz w:val="18"/>
                <w:szCs w:val="18"/>
                <w:b w:val="1"/>
                <w:bCs w:val="1"/>
                <w:color w:val="auto"/>
              </w:rPr>
              <w:t>calculating</w:t>
            </w:r>
          </w:p>
        </w:tc>
      </w:tr>
      <w:tr>
        <w:trPr>
          <w:trHeight w:val="248"/>
        </w:trPr>
        <w:tc>
          <w:tcPr>
            <w:tcW w:w="5260" w:type="dxa"/>
            <w:vAlign w:val="bottom"/>
          </w:tcPr>
          <w:p>
            <w:pPr>
              <w:spacing w:after="0"/>
              <w:rPr>
                <w:sz w:val="21"/>
                <w:szCs w:val="21"/>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2740" w:type="dxa"/>
            <w:vAlign w:val="bottom"/>
            <w:gridSpan w:val="6"/>
          </w:tcPr>
          <w:p>
            <w:pPr>
              <w:jc w:val="center"/>
              <w:ind w:right="180"/>
              <w:spacing w:after="0"/>
              <w:rPr>
                <w:sz w:val="20"/>
                <w:szCs w:val="20"/>
                <w:color w:val="auto"/>
              </w:rPr>
            </w:pPr>
            <w:r>
              <w:rPr>
                <w:rFonts w:ascii="Arial" w:cs="Arial" w:eastAsia="Arial" w:hAnsi="Arial"/>
                <w:sz w:val="18"/>
                <w:szCs w:val="18"/>
                <w:b w:val="1"/>
                <w:bCs w:val="1"/>
                <w:color w:val="auto"/>
                <w:w w:val="90"/>
              </w:rPr>
              <w:t>hedging instrument</w:t>
            </w:r>
          </w:p>
        </w:tc>
        <w:tc>
          <w:tcPr>
            <w:tcW w:w="40" w:type="dxa"/>
            <w:vAlign w:val="bottom"/>
          </w:tcPr>
          <w:p>
            <w:pPr>
              <w:spacing w:after="0"/>
              <w:rPr>
                <w:sz w:val="21"/>
                <w:szCs w:val="21"/>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2"/>
              </w:rPr>
              <w:t>hedge</w:t>
            </w:r>
          </w:p>
        </w:tc>
      </w:tr>
      <w:tr>
        <w:trPr>
          <w:trHeight w:val="223"/>
        </w:trPr>
        <w:tc>
          <w:tcPr>
            <w:tcW w:w="526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0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20" w:type="dxa"/>
            <w:vAlign w:val="bottom"/>
            <w:tcBorders>
              <w:top w:val="single" w:sz="8" w:color="auto"/>
            </w:tcBorders>
          </w:tcPr>
          <w:p>
            <w:pPr>
              <w:spacing w:after="0"/>
              <w:rPr>
                <w:sz w:val="19"/>
                <w:szCs w:val="19"/>
                <w:color w:val="auto"/>
              </w:rPr>
            </w:pPr>
          </w:p>
        </w:tc>
        <w:tc>
          <w:tcPr>
            <w:tcW w:w="1140" w:type="dxa"/>
            <w:vAlign w:val="bottom"/>
            <w:tcBorders>
              <w:top w:val="single" w:sz="8" w:color="auto"/>
            </w:tcBorders>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8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ineffectiveness</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828,733</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9,688</w:t>
            </w:r>
          </w:p>
        </w:tc>
        <w:tc>
          <w:tcPr>
            <w:tcW w:w="1340" w:type="dxa"/>
            <w:vAlign w:val="bottom"/>
            <w:gridSpan w:val="4"/>
          </w:tcPr>
          <w:p>
            <w:pPr>
              <w:jc w:val="right"/>
              <w:ind w:right="120"/>
              <w:spacing w:after="0"/>
              <w:rPr>
                <w:sz w:val="20"/>
                <w:szCs w:val="20"/>
                <w:color w:val="auto"/>
              </w:rPr>
            </w:pPr>
            <w:r>
              <w:rPr>
                <w:rFonts w:ascii="Arial" w:cs="Arial" w:eastAsia="Arial" w:hAnsi="Arial"/>
                <w:sz w:val="18"/>
                <w:szCs w:val="18"/>
                <w:color w:val="auto"/>
              </w:rPr>
              <w:t>(2,035)</w:t>
            </w:r>
          </w:p>
        </w:tc>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7,420</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295,287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11,874</w:t>
            </w:r>
          </w:p>
        </w:tc>
        <w:tc>
          <w:tcPr>
            <w:tcW w:w="134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(28,058)</w:t>
            </w: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6,882</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465,000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200" w:type="dxa"/>
            <w:vAlign w:val="bottom"/>
            <w:shd w:val="clear" w:color="auto" w:fill="CCEEFF"/>
          </w:tcPr>
          <w:p>
            <w:pPr>
              <w:spacing w:after="0"/>
              <w:rPr>
                <w:sz w:val="18"/>
                <w:szCs w:val="18"/>
                <w:color w:val="auto"/>
              </w:rPr>
            </w:pPr>
          </w:p>
        </w:tc>
        <w:tc>
          <w:tcPr>
            <w:tcW w:w="134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(3,952)</w:t>
            </w:r>
          </w:p>
        </w:tc>
        <w:tc>
          <w:tcPr>
            <w:tcW w:w="13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(1,937)</w:t>
            </w: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370,253</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5,784</w:t>
            </w:r>
          </w:p>
        </w:tc>
        <w:tc>
          <w:tcPr>
            <w:tcW w:w="134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(456)</w:t>
            </w: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3,461</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3,184</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4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(151)</w:t>
            </w:r>
          </w:p>
        </w:tc>
        <w:tc>
          <w:tcPr>
            <w:tcW w:w="13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(435)</w:t>
            </w:r>
          </w:p>
        </w:tc>
      </w:tr>
      <w:tr>
        <w:trPr>
          <w:trHeight w:val="223"/>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top w:val="single" w:sz="8" w:color="auto"/>
              <w:bottom w:val="single" w:sz="8" w:color="auto"/>
            </w:tcBorders>
          </w:tcPr>
          <w:p>
            <w:pPr>
              <w:ind w:left="460"/>
              <w:spacing w:after="0"/>
              <w:rPr>
                <w:sz w:val="20"/>
                <w:szCs w:val="20"/>
                <w:color w:val="auto"/>
              </w:rPr>
            </w:pPr>
            <w:r>
              <w:rPr>
                <w:rFonts w:ascii="Arial" w:cs="Arial" w:eastAsia="Arial" w:hAnsi="Arial"/>
                <w:sz w:val="18"/>
                <w:szCs w:val="18"/>
                <w:b w:val="1"/>
                <w:bCs w:val="1"/>
                <w:color w:val="auto"/>
                <w:w w:val="87"/>
              </w:rPr>
              <w:t>1,962,457</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27,369</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(34,652</w:t>
            </w:r>
          </w:p>
        </w:tc>
        <w:tc>
          <w:tcPr>
            <w:tcW w:w="18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15,391</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26"/>
        </w:trPr>
        <w:tc>
          <w:tcPr>
            <w:tcW w:w="52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740" w:type="dxa"/>
            <w:vAlign w:val="bottom"/>
            <w:tcBorders>
              <w:bottom w:val="single" w:sz="8" w:color="auto"/>
            </w:tcBorders>
            <w:gridSpan w:val="6"/>
          </w:tcPr>
          <w:p>
            <w:pPr>
              <w:jc w:val="center"/>
              <w:ind w:right="180"/>
              <w:spacing w:after="0"/>
              <w:rPr>
                <w:sz w:val="20"/>
                <w:szCs w:val="20"/>
                <w:color w:val="auto"/>
              </w:rPr>
            </w:pPr>
            <w:r>
              <w:rPr>
                <w:rFonts w:ascii="Arial" w:cs="Arial" w:eastAsia="Arial" w:hAnsi="Arial"/>
                <w:sz w:val="18"/>
                <w:szCs w:val="18"/>
                <w:b w:val="1"/>
                <w:bCs w:val="1"/>
                <w:color w:val="auto"/>
                <w:w w:val="88"/>
              </w:rPr>
              <w:t>December 31, 2015</w:t>
            </w:r>
          </w:p>
        </w:tc>
        <w:tc>
          <w:tcPr>
            <w:tcW w:w="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526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00" w:type="dxa"/>
            <w:vAlign w:val="bottom"/>
            <w:gridSpan w:val="2"/>
          </w:tcPr>
          <w:p>
            <w:pPr>
              <w:spacing w:after="0"/>
              <w:rPr>
                <w:sz w:val="16"/>
                <w:szCs w:val="16"/>
                <w:color w:val="auto"/>
              </w:rPr>
            </w:pP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8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w w:val="93"/>
              </w:rPr>
              <w:t>value used for</w:t>
            </w:r>
          </w:p>
        </w:tc>
      </w:tr>
      <w:tr>
        <w:trPr>
          <w:trHeight w:val="216"/>
        </w:trPr>
        <w:tc>
          <w:tcPr>
            <w:tcW w:w="52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740" w:type="dxa"/>
            <w:vAlign w:val="bottom"/>
            <w:gridSpan w:val="6"/>
          </w:tcPr>
          <w:p>
            <w:pPr>
              <w:jc w:val="center"/>
              <w:ind w:right="160"/>
              <w:spacing w:after="0"/>
              <w:rPr>
                <w:sz w:val="20"/>
                <w:szCs w:val="20"/>
                <w:color w:val="auto"/>
              </w:rPr>
            </w:pPr>
            <w:r>
              <w:rPr>
                <w:rFonts w:ascii="Arial" w:cs="Arial" w:eastAsia="Arial" w:hAnsi="Arial"/>
                <w:sz w:val="18"/>
                <w:szCs w:val="18"/>
                <w:b w:val="1"/>
                <w:bCs w:val="1"/>
                <w:color w:val="auto"/>
                <w:w w:val="91"/>
              </w:rPr>
              <w:t>Carrying amount of the</w:t>
            </w:r>
          </w:p>
        </w:tc>
        <w:tc>
          <w:tcPr>
            <w:tcW w:w="40" w:type="dxa"/>
            <w:vAlign w:val="bottom"/>
          </w:tcPr>
          <w:p>
            <w:pPr>
              <w:spacing w:after="0"/>
              <w:rPr>
                <w:sz w:val="18"/>
                <w:szCs w:val="18"/>
                <w:color w:val="auto"/>
              </w:rPr>
            </w:pPr>
          </w:p>
        </w:tc>
        <w:tc>
          <w:tcPr>
            <w:tcW w:w="1280" w:type="dxa"/>
            <w:vAlign w:val="bottom"/>
            <w:gridSpan w:val="3"/>
          </w:tcPr>
          <w:p>
            <w:pPr>
              <w:jc w:val="center"/>
              <w:ind w:right="160"/>
              <w:spacing w:after="0"/>
              <w:rPr>
                <w:sz w:val="20"/>
                <w:szCs w:val="20"/>
                <w:color w:val="auto"/>
              </w:rPr>
            </w:pPr>
            <w:r>
              <w:rPr>
                <w:rFonts w:ascii="Arial" w:cs="Arial" w:eastAsia="Arial" w:hAnsi="Arial"/>
                <w:sz w:val="18"/>
                <w:szCs w:val="18"/>
                <w:b w:val="1"/>
                <w:bCs w:val="1"/>
                <w:color w:val="auto"/>
                <w:w w:val="89"/>
              </w:rPr>
              <w:t>calculating</w:t>
            </w:r>
          </w:p>
        </w:tc>
      </w:tr>
      <w:tr>
        <w:trPr>
          <w:trHeight w:val="248"/>
        </w:trPr>
        <w:tc>
          <w:tcPr>
            <w:tcW w:w="5260" w:type="dxa"/>
            <w:vAlign w:val="bottom"/>
          </w:tcPr>
          <w:p>
            <w:pPr>
              <w:spacing w:after="0"/>
              <w:rPr>
                <w:sz w:val="21"/>
                <w:szCs w:val="21"/>
                <w:color w:val="auto"/>
              </w:rPr>
            </w:pPr>
          </w:p>
        </w:tc>
        <w:tc>
          <w:tcPr>
            <w:tcW w:w="1400" w:type="dxa"/>
            <w:vAlign w:val="bottom"/>
            <w:gridSpan w:val="2"/>
          </w:tcPr>
          <w:p>
            <w:pPr>
              <w:ind w:left="260"/>
              <w:spacing w:after="0"/>
              <w:rPr>
                <w:sz w:val="20"/>
                <w:szCs w:val="20"/>
                <w:color w:val="auto"/>
              </w:rPr>
            </w:pPr>
            <w:r>
              <w:rPr>
                <w:rFonts w:ascii="Arial" w:cs="Arial" w:eastAsia="Arial" w:hAnsi="Arial"/>
                <w:sz w:val="18"/>
                <w:szCs w:val="18"/>
                <w:b w:val="1"/>
                <w:bCs w:val="1"/>
                <w:color w:val="auto"/>
              </w:rPr>
              <w:t>Nominal</w:t>
            </w:r>
          </w:p>
        </w:tc>
        <w:tc>
          <w:tcPr>
            <w:tcW w:w="2740" w:type="dxa"/>
            <w:vAlign w:val="bottom"/>
            <w:gridSpan w:val="6"/>
          </w:tcPr>
          <w:p>
            <w:pPr>
              <w:jc w:val="right"/>
              <w:ind w:right="660"/>
              <w:spacing w:after="0"/>
              <w:rPr>
                <w:sz w:val="20"/>
                <w:szCs w:val="20"/>
                <w:color w:val="auto"/>
              </w:rPr>
            </w:pPr>
            <w:r>
              <w:rPr>
                <w:rFonts w:ascii="Arial" w:cs="Arial" w:eastAsia="Arial" w:hAnsi="Arial"/>
                <w:sz w:val="18"/>
                <w:szCs w:val="18"/>
                <w:b w:val="1"/>
                <w:bCs w:val="1"/>
                <w:color w:val="auto"/>
              </w:rPr>
              <w:t>hedging instrument</w:t>
            </w:r>
          </w:p>
        </w:tc>
        <w:tc>
          <w:tcPr>
            <w:tcW w:w="40" w:type="dxa"/>
            <w:vAlign w:val="bottom"/>
          </w:tcPr>
          <w:p>
            <w:pPr>
              <w:spacing w:after="0"/>
              <w:rPr>
                <w:sz w:val="21"/>
                <w:szCs w:val="21"/>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hedge</w:t>
            </w:r>
          </w:p>
        </w:tc>
      </w:tr>
      <w:tr>
        <w:trPr>
          <w:trHeight w:val="223"/>
        </w:trPr>
        <w:tc>
          <w:tcPr>
            <w:tcW w:w="5260" w:type="dxa"/>
            <w:vAlign w:val="bottom"/>
          </w:tcPr>
          <w:p>
            <w:pPr>
              <w:spacing w:after="0"/>
              <w:rPr>
                <w:sz w:val="19"/>
                <w:szCs w:val="19"/>
                <w:color w:val="auto"/>
              </w:rPr>
            </w:pPr>
          </w:p>
        </w:tc>
        <w:tc>
          <w:tcPr>
            <w:tcW w:w="1400" w:type="dxa"/>
            <w:vAlign w:val="bottom"/>
            <w:gridSpan w:val="2"/>
          </w:tcPr>
          <w:p>
            <w:pPr>
              <w:ind w:left="280"/>
              <w:spacing w:after="0"/>
              <w:rPr>
                <w:sz w:val="20"/>
                <w:szCs w:val="20"/>
                <w:color w:val="auto"/>
              </w:rPr>
            </w:pPr>
            <w:r>
              <w:rPr>
                <w:rFonts w:ascii="Arial" w:cs="Arial" w:eastAsia="Arial" w:hAnsi="Arial"/>
                <w:sz w:val="18"/>
                <w:szCs w:val="18"/>
                <w:b w:val="1"/>
                <w:bCs w:val="1"/>
                <w:color w:val="auto"/>
              </w:rPr>
              <w:t>Amount</w:t>
            </w:r>
          </w:p>
        </w:tc>
        <w:tc>
          <w:tcPr>
            <w:tcW w:w="1400" w:type="dxa"/>
            <w:vAlign w:val="bottom"/>
            <w:tcBorders>
              <w:top w:val="single" w:sz="8" w:color="auto"/>
            </w:tcBorders>
            <w:gridSpan w:val="2"/>
          </w:tcPr>
          <w:p>
            <w:pPr>
              <w:ind w:left="400"/>
              <w:spacing w:after="0"/>
              <w:rPr>
                <w:sz w:val="20"/>
                <w:szCs w:val="20"/>
                <w:color w:val="auto"/>
              </w:rPr>
            </w:pPr>
            <w:r>
              <w:rPr>
                <w:rFonts w:ascii="Arial" w:cs="Arial" w:eastAsia="Arial" w:hAnsi="Arial"/>
                <w:sz w:val="18"/>
                <w:szCs w:val="18"/>
                <w:b w:val="1"/>
                <w:bCs w:val="1"/>
                <w:color w:val="auto"/>
              </w:rPr>
              <w:t>Asset</w:t>
            </w:r>
          </w:p>
        </w:tc>
        <w:tc>
          <w:tcPr>
            <w:tcW w:w="20" w:type="dxa"/>
            <w:vAlign w:val="bottom"/>
            <w:tcBorders>
              <w:top w:val="single" w:sz="8" w:color="auto"/>
            </w:tcBorders>
          </w:tcPr>
          <w:p>
            <w:pPr>
              <w:spacing w:after="0"/>
              <w:rPr>
                <w:sz w:val="19"/>
                <w:szCs w:val="19"/>
                <w:color w:val="auto"/>
              </w:rPr>
            </w:pPr>
          </w:p>
        </w:tc>
        <w:tc>
          <w:tcPr>
            <w:tcW w:w="1160" w:type="dxa"/>
            <w:vAlign w:val="bottom"/>
            <w:tcBorders>
              <w:top w:val="single" w:sz="8" w:color="auto"/>
            </w:tcBorders>
            <w:gridSpan w:val="2"/>
          </w:tcPr>
          <w:p>
            <w:pPr>
              <w:jc w:val="right"/>
              <w:ind w:right="180"/>
              <w:spacing w:after="0"/>
              <w:rPr>
                <w:sz w:val="20"/>
                <w:szCs w:val="20"/>
                <w:color w:val="auto"/>
              </w:rPr>
            </w:pPr>
            <w:r>
              <w:rPr>
                <w:rFonts w:ascii="Arial" w:cs="Arial" w:eastAsia="Arial" w:hAnsi="Arial"/>
                <w:sz w:val="18"/>
                <w:szCs w:val="18"/>
                <w:b w:val="1"/>
                <w:bCs w:val="1"/>
                <w:color w:val="auto"/>
              </w:rPr>
              <w:t>Liability</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28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Ineffectiveness</w:t>
            </w:r>
          </w:p>
        </w:tc>
      </w:tr>
      <w:tr>
        <w:trPr>
          <w:trHeight w:val="210"/>
        </w:trPr>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886,631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2,549</w:t>
            </w:r>
          </w:p>
        </w:tc>
        <w:tc>
          <w:tcPr>
            <w:tcW w:w="1340" w:type="dxa"/>
            <w:vAlign w:val="bottom"/>
            <w:gridSpan w:val="4"/>
          </w:tcPr>
          <w:p>
            <w:pPr>
              <w:jc w:val="right"/>
              <w:ind w:right="160"/>
              <w:spacing w:after="0"/>
              <w:rPr>
                <w:sz w:val="20"/>
                <w:szCs w:val="20"/>
                <w:color w:val="auto"/>
              </w:rPr>
            </w:pPr>
            <w:r>
              <w:rPr>
                <w:rFonts w:ascii="Arial" w:cs="Arial" w:eastAsia="Arial" w:hAnsi="Arial"/>
                <w:sz w:val="18"/>
                <w:szCs w:val="18"/>
                <w:color w:val="auto"/>
              </w:rPr>
              <w:t>1,444</w:t>
            </w:r>
          </w:p>
        </w:tc>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647</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214,067</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322</w:t>
            </w:r>
          </w:p>
        </w:tc>
        <w:tc>
          <w:tcPr>
            <w:tcW w:w="134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23,710</w:t>
            </w: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14,731</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870,000</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230</w:t>
            </w:r>
          </w:p>
        </w:tc>
        <w:tc>
          <w:tcPr>
            <w:tcW w:w="134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2,254</w:t>
            </w:r>
          </w:p>
        </w:tc>
        <w:tc>
          <w:tcPr>
            <w:tcW w:w="1320" w:type="dxa"/>
            <w:vAlign w:val="bottom"/>
            <w:gridSpan w:val="4"/>
            <w:shd w:val="clear" w:color="auto" w:fill="CCEEFF"/>
          </w:tcPr>
          <w:p>
            <w:pPr>
              <w:jc w:val="right"/>
              <w:ind w:right="40"/>
              <w:spacing w:after="0"/>
              <w:rPr>
                <w:sz w:val="20"/>
                <w:szCs w:val="20"/>
                <w:color w:val="auto"/>
              </w:rPr>
            </w:pPr>
            <w:r>
              <w:rPr>
                <w:rFonts w:ascii="Arial" w:cs="Arial" w:eastAsia="Arial" w:hAnsi="Arial"/>
                <w:sz w:val="18"/>
                <w:szCs w:val="18"/>
                <w:color w:val="auto"/>
              </w:rPr>
              <w:t>(258)</w:t>
            </w:r>
          </w:p>
        </w:tc>
      </w:tr>
      <w:tr>
        <w:trPr>
          <w:trHeight w:val="216"/>
        </w:trPr>
        <w:tc>
          <w:tcPr>
            <w:tcW w:w="526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75,889</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374</w:t>
            </w:r>
          </w:p>
        </w:tc>
        <w:tc>
          <w:tcPr>
            <w:tcW w:w="1340" w:type="dxa"/>
            <w:vAlign w:val="bottom"/>
            <w:gridSpan w:val="4"/>
          </w:tcPr>
          <w:p>
            <w:pPr>
              <w:jc w:val="right"/>
              <w:ind w:right="160"/>
              <w:spacing w:after="0"/>
              <w:rPr>
                <w:sz w:val="20"/>
                <w:szCs w:val="20"/>
                <w:color w:val="auto"/>
              </w:rPr>
            </w:pPr>
            <w:r>
              <w:rPr>
                <w:rFonts w:ascii="Arial" w:cs="Arial" w:eastAsia="Arial" w:hAnsi="Arial"/>
                <w:sz w:val="18"/>
                <w:szCs w:val="18"/>
                <w:color w:val="auto"/>
              </w:rPr>
              <w:t>395</w:t>
            </w:r>
          </w:p>
        </w:tc>
        <w:tc>
          <w:tcPr>
            <w:tcW w:w="1240" w:type="dxa"/>
            <w:vAlign w:val="bottom"/>
            <w:gridSpan w:val="3"/>
          </w:tcPr>
          <w:p>
            <w:pPr>
              <w:jc w:val="right"/>
              <w:ind w:right="20"/>
              <w:spacing w:after="0"/>
              <w:rPr>
                <w:sz w:val="20"/>
                <w:szCs w:val="20"/>
                <w:color w:val="auto"/>
              </w:rPr>
            </w:pPr>
            <w:r>
              <w:rPr>
                <w:rFonts w:ascii="Arial" w:cs="Arial" w:eastAsia="Arial" w:hAnsi="Arial"/>
                <w:sz w:val="18"/>
                <w:szCs w:val="18"/>
                <w:color w:val="auto"/>
              </w:rPr>
              <w:t>215</w:t>
            </w:r>
          </w:p>
        </w:tc>
        <w:tc>
          <w:tcPr>
            <w:tcW w:w="80" w:type="dxa"/>
            <w:vAlign w:val="bottom"/>
          </w:tcPr>
          <w:p>
            <w:pPr>
              <w:spacing w:after="0"/>
              <w:rPr>
                <w:sz w:val="18"/>
                <w:szCs w:val="18"/>
                <w:color w:val="auto"/>
              </w:rPr>
            </w:pPr>
          </w:p>
        </w:tc>
      </w:tr>
      <w:tr>
        <w:trPr>
          <w:trHeight w:val="216"/>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247,869</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3,925</w:t>
            </w:r>
          </w:p>
        </w:tc>
        <w:tc>
          <w:tcPr>
            <w:tcW w:w="134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2,058</w:t>
            </w: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1,867</w:t>
            </w:r>
          </w:p>
        </w:tc>
        <w:tc>
          <w:tcPr>
            <w:tcW w:w="80" w:type="dxa"/>
            <w:vAlign w:val="bottom"/>
            <w:shd w:val="clear" w:color="auto" w:fill="CCEEFF"/>
          </w:tcPr>
          <w:p>
            <w:pPr>
              <w:spacing w:after="0"/>
              <w:rPr>
                <w:sz w:val="18"/>
                <w:szCs w:val="18"/>
                <w:color w:val="auto"/>
              </w:rPr>
            </w:pPr>
          </w:p>
        </w:tc>
      </w:tr>
      <w:tr>
        <w:trPr>
          <w:trHeight w:val="216"/>
        </w:trPr>
        <w:tc>
          <w:tcPr>
            <w:tcW w:w="526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3,818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340" w:type="dxa"/>
            <w:vAlign w:val="bottom"/>
            <w:gridSpan w:val="4"/>
            <w:shd w:val="clear" w:color="auto" w:fill="CCEEFF"/>
          </w:tcPr>
          <w:p>
            <w:pPr>
              <w:jc w:val="right"/>
              <w:ind w:right="160"/>
              <w:spacing w:after="0"/>
              <w:rPr>
                <w:sz w:val="20"/>
                <w:szCs w:val="20"/>
                <w:color w:val="auto"/>
              </w:rPr>
            </w:pPr>
            <w:r>
              <w:rPr>
                <w:rFonts w:ascii="Arial" w:cs="Arial" w:eastAsia="Arial" w:hAnsi="Arial"/>
                <w:sz w:val="18"/>
                <w:szCs w:val="18"/>
                <w:color w:val="auto"/>
              </w:rPr>
              <w:t>28</w:t>
            </w: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r>
      <w:tr>
        <w:trPr>
          <w:trHeight w:val="223"/>
        </w:trPr>
        <w:tc>
          <w:tcPr>
            <w:tcW w:w="52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tcBorders>
              <w:top w:val="single" w:sz="8" w:color="auto"/>
              <w:bottom w:val="single" w:sz="8" w:color="auto"/>
            </w:tcBorders>
          </w:tcPr>
          <w:p>
            <w:pPr>
              <w:ind w:left="460"/>
              <w:spacing w:after="0"/>
              <w:rPr>
                <w:sz w:val="20"/>
                <w:szCs w:val="20"/>
                <w:color w:val="auto"/>
              </w:rPr>
            </w:pPr>
            <w:r>
              <w:rPr>
                <w:rFonts w:ascii="Arial" w:cs="Arial" w:eastAsia="Arial" w:hAnsi="Arial"/>
                <w:sz w:val="18"/>
                <w:szCs w:val="18"/>
                <w:b w:val="1"/>
                <w:bCs w:val="1"/>
                <w:color w:val="auto"/>
                <w:w w:val="87"/>
              </w:rPr>
              <w:t>2,298,274</w:t>
            </w:r>
          </w:p>
        </w:tc>
        <w:tc>
          <w:tcPr>
            <w:tcW w:w="2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1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29,889</w:t>
            </w:r>
          </w:p>
        </w:tc>
        <w:tc>
          <w:tcPr>
            <w:tcW w:w="1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17,230</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52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hedging instruments presented in the tables above are located in the line item in the statement of financial position at fair value - Derivative financial instruments used for hedging – receivable or at fair value – Derivative financial instruments used for hedging – payable.</w:t>
      </w:r>
    </w:p>
    <w:p>
      <w:pPr>
        <w:spacing w:after="0" w:line="387"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2" w:name="page33"/>
    <w:bookmarkEnd w:id="3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gains and losses resulting from activities of derivative financial instruments and hedging recognized in the consolidated statements of profit or loss are presented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Three months ended at September 30, 2016</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4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6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reclassified from</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64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93"/>
              </w:rPr>
              <w:t>accumulated OCI</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Gain (loss)</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to the</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recognized in</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OCI (effective</w:t>
            </w:r>
          </w:p>
        </w:tc>
        <w:tc>
          <w:tcPr>
            <w:tcW w:w="3000" w:type="dxa"/>
            <w:vAlign w:val="bottom"/>
          </w:tcPr>
          <w:p>
            <w:pPr>
              <w:ind w:left="700"/>
              <w:spacing w:after="0"/>
              <w:rPr>
                <w:sz w:val="20"/>
                <w:szCs w:val="20"/>
                <w:color w:val="auto"/>
              </w:rPr>
            </w:pPr>
            <w:r>
              <w:rPr>
                <w:rFonts w:ascii="Arial" w:cs="Arial" w:eastAsia="Arial" w:hAnsi="Arial"/>
                <w:sz w:val="18"/>
                <w:szCs w:val="18"/>
                <w:b w:val="1"/>
                <w:bCs w:val="1"/>
                <w:color w:val="auto"/>
              </w:rPr>
              <w:t>Classification of gain</w:t>
            </w:r>
          </w:p>
        </w:tc>
        <w:tc>
          <w:tcPr>
            <w:tcW w:w="80" w:type="dxa"/>
            <w:vAlign w:val="bottom"/>
          </w:tcPr>
          <w:p>
            <w:pPr>
              <w:spacing w:after="0"/>
              <w:rPr>
                <w:sz w:val="18"/>
                <w:szCs w:val="18"/>
                <w:color w:val="auto"/>
              </w:rPr>
            </w:pP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4"/>
              </w:rPr>
              <w:t>portion)</w:t>
            </w:r>
          </w:p>
        </w:tc>
        <w:tc>
          <w:tcPr>
            <w:tcW w:w="3000" w:type="dxa"/>
            <w:vAlign w:val="bottom"/>
          </w:tcPr>
          <w:p>
            <w:pPr>
              <w:ind w:left="1300"/>
              <w:spacing w:after="0"/>
              <w:rPr>
                <w:sz w:val="20"/>
                <w:szCs w:val="20"/>
                <w:color w:val="auto"/>
              </w:rPr>
            </w:pPr>
            <w:r>
              <w:rPr>
                <w:rFonts w:ascii="Arial" w:cs="Arial" w:eastAsia="Arial" w:hAnsi="Arial"/>
                <w:sz w:val="18"/>
                <w:szCs w:val="18"/>
                <w:b w:val="1"/>
                <w:bCs w:val="1"/>
                <w:color w:val="auto"/>
              </w:rPr>
              <w:t>(loss)</w:t>
            </w:r>
          </w:p>
        </w:tc>
        <w:tc>
          <w:tcPr>
            <w:tcW w:w="80" w:type="dxa"/>
            <w:vAlign w:val="bottom"/>
          </w:tcPr>
          <w:p>
            <w:pPr>
              <w:spacing w:after="0"/>
              <w:rPr>
                <w:sz w:val="20"/>
                <w:szCs w:val="20"/>
                <w:color w:val="auto"/>
              </w:rPr>
            </w:pPr>
          </w:p>
        </w:tc>
        <w:tc>
          <w:tcPr>
            <w:tcW w:w="15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profit or loss</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cash flow hedge</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0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784</w:t>
            </w:r>
          </w:p>
        </w:tc>
        <w:tc>
          <w:tcPr>
            <w:tcW w:w="3000" w:type="dxa"/>
            <w:vAlign w:val="bottom"/>
          </w:tcPr>
          <w:p>
            <w:pPr>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(265)</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(1,776)</w:t>
            </w: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rPr>
              <w:t>Gain (loss) on foreign currency</w:t>
            </w:r>
          </w:p>
        </w:tc>
        <w:tc>
          <w:tcPr>
            <w:tcW w:w="16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restart"/>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6,517</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9"/>
              </w:rPr>
              <w:t>Interest income – securities at FVOCI</w:t>
            </w:r>
          </w:p>
        </w:tc>
        <w:tc>
          <w:tcPr>
            <w:tcW w:w="16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w w:val="95"/>
              </w:rPr>
              <w:t>Interest income loans at amortized cost</w:t>
            </w:r>
          </w:p>
        </w:tc>
        <w:tc>
          <w:tcPr>
            <w:tcW w:w="1640" w:type="dxa"/>
            <w:vAlign w:val="bottom"/>
            <w:gridSpan w:val="3"/>
          </w:tcPr>
          <w:p>
            <w:pPr>
              <w:jc w:val="right"/>
              <w:ind w:right="40"/>
              <w:spacing w:after="0"/>
              <w:rPr>
                <w:sz w:val="20"/>
                <w:szCs w:val="20"/>
                <w:color w:val="auto"/>
              </w:rPr>
            </w:pPr>
            <w:r>
              <w:rPr>
                <w:rFonts w:ascii="Arial" w:cs="Arial" w:eastAsia="Arial" w:hAnsi="Arial"/>
                <w:sz w:val="18"/>
                <w:szCs w:val="18"/>
                <w:color w:val="auto"/>
              </w:rPr>
              <w:t>(1,371)</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4"/>
              </w:rPr>
              <w:t>Interest expense – borrowings and debt</w:t>
            </w:r>
          </w:p>
        </w:tc>
        <w:tc>
          <w:tcPr>
            <w:tcW w:w="164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3"/>
          </w:tcPr>
          <w:p>
            <w:pPr>
              <w:jc w:val="right"/>
              <w:ind w:right="100"/>
              <w:spacing w:after="0"/>
              <w:rPr>
                <w:sz w:val="20"/>
                <w:szCs w:val="20"/>
                <w:color w:val="auto"/>
              </w:rPr>
            </w:pPr>
            <w:r>
              <w:rPr>
                <w:rFonts w:ascii="Arial" w:cs="Arial" w:eastAsia="Arial" w:hAnsi="Arial"/>
                <w:sz w:val="18"/>
                <w:szCs w:val="18"/>
                <w:color w:val="auto"/>
              </w:rPr>
              <w:t>496</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rPr>
              <w:t>Gain (loss) on foreign exchange</w:t>
            </w:r>
          </w:p>
        </w:tc>
        <w:tc>
          <w:tcPr>
            <w:tcW w:w="164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(1,375)</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5,525</w:t>
            </w:r>
          </w:p>
        </w:tc>
        <w:tc>
          <w:tcPr>
            <w:tcW w:w="180" w:type="dxa"/>
            <w:vAlign w:val="bottom"/>
          </w:tcPr>
          <w:p>
            <w:pPr>
              <w:spacing w:after="0"/>
              <w:rPr>
                <w:sz w:val="19"/>
                <w:szCs w:val="19"/>
                <w:color w:val="auto"/>
              </w:rPr>
            </w:pPr>
          </w:p>
        </w:tc>
        <w:tc>
          <w:tcPr>
            <w:tcW w:w="30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(2,250</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(351</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0" w:type="dxa"/>
            <w:vAlign w:val="bottom"/>
            <w:vMerge w:val="restart"/>
          </w:tcPr>
          <w:p>
            <w:pPr>
              <w:ind w:left="340"/>
              <w:spacing w:after="0"/>
              <w:rPr>
                <w:sz w:val="20"/>
                <w:szCs w:val="20"/>
                <w:color w:val="auto"/>
              </w:rPr>
            </w:pPr>
            <w:r>
              <w:rPr>
                <w:rFonts w:ascii="Arial" w:cs="Arial" w:eastAsia="Arial" w:hAnsi="Arial"/>
                <w:sz w:val="18"/>
                <w:szCs w:val="18"/>
                <w:color w:val="auto"/>
              </w:rPr>
              <w:t>31</w:t>
            </w: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3" w:name="page34"/>
    <w:bookmarkEnd w:id="3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4"/>
          </w:tcPr>
          <w:p>
            <w:pPr>
              <w:ind w:left="620"/>
              <w:spacing w:after="0"/>
              <w:rPr>
                <w:sz w:val="20"/>
                <w:szCs w:val="20"/>
                <w:color w:val="auto"/>
              </w:rPr>
            </w:pPr>
            <w:r>
              <w:rPr>
                <w:rFonts w:ascii="Arial" w:cs="Arial" w:eastAsia="Arial" w:hAnsi="Arial"/>
                <w:sz w:val="18"/>
                <w:szCs w:val="18"/>
                <w:b w:val="1"/>
                <w:bCs w:val="1"/>
                <w:color w:val="auto"/>
              </w:rPr>
              <w:t>Nine months ended at September 30, 2016</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4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6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reclassified from</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accumulated OCI</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Gain (loss)</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to the</w:t>
            </w:r>
          </w:p>
        </w:tc>
        <w:tc>
          <w:tcPr>
            <w:tcW w:w="126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recognized in</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OCI (effective</w:t>
            </w:r>
          </w:p>
        </w:tc>
        <w:tc>
          <w:tcPr>
            <w:tcW w:w="3000" w:type="dxa"/>
            <w:vAlign w:val="bottom"/>
          </w:tcPr>
          <w:p>
            <w:pPr>
              <w:ind w:left="700"/>
              <w:spacing w:after="0"/>
              <w:rPr>
                <w:sz w:val="20"/>
                <w:szCs w:val="20"/>
                <w:color w:val="auto"/>
              </w:rPr>
            </w:pPr>
            <w:r>
              <w:rPr>
                <w:rFonts w:ascii="Arial" w:cs="Arial" w:eastAsia="Arial" w:hAnsi="Arial"/>
                <w:sz w:val="18"/>
                <w:szCs w:val="18"/>
                <w:b w:val="1"/>
                <w:bCs w:val="1"/>
                <w:color w:val="auto"/>
              </w:rPr>
              <w:t>Classification of gain</w:t>
            </w: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88"/>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4"/>
              </w:rPr>
              <w:t>portion)</w:t>
            </w:r>
          </w:p>
        </w:tc>
        <w:tc>
          <w:tcPr>
            <w:tcW w:w="3000" w:type="dxa"/>
            <w:vAlign w:val="bottom"/>
          </w:tcPr>
          <w:p>
            <w:pPr>
              <w:ind w:left="1300"/>
              <w:spacing w:after="0"/>
              <w:rPr>
                <w:sz w:val="20"/>
                <w:szCs w:val="20"/>
                <w:color w:val="auto"/>
              </w:rPr>
            </w:pPr>
            <w:r>
              <w:rPr>
                <w:rFonts w:ascii="Arial" w:cs="Arial" w:eastAsia="Arial" w:hAnsi="Arial"/>
                <w:sz w:val="18"/>
                <w:szCs w:val="18"/>
                <w:b w:val="1"/>
                <w:bCs w:val="1"/>
                <w:color w:val="auto"/>
              </w:rPr>
              <w:t>(loss)</w:t>
            </w:r>
          </w:p>
        </w:tc>
        <w:tc>
          <w:tcPr>
            <w:tcW w:w="80" w:type="dxa"/>
            <w:vAlign w:val="bottom"/>
          </w:tcPr>
          <w:p>
            <w:pPr>
              <w:spacing w:after="0"/>
              <w:rPr>
                <w:sz w:val="20"/>
                <w:szCs w:val="20"/>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profit or loss</w:t>
            </w:r>
          </w:p>
        </w:tc>
        <w:tc>
          <w:tcPr>
            <w:tcW w:w="126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4"/>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cash flow hedge</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0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(1,674)</w:t>
            </w:r>
          </w:p>
        </w:tc>
        <w:tc>
          <w:tcPr>
            <w:tcW w:w="3000" w:type="dxa"/>
            <w:vAlign w:val="bottom"/>
          </w:tcPr>
          <w:p>
            <w:pPr>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(1,226)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w:t>
            </w: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rPr>
              <w:t>Gain (loss) on foreign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restart"/>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4,641</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9"/>
              </w:rPr>
              <w:t>Interest income – securities at FVOCI</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w w:val="95"/>
              </w:rPr>
              <w:t>Interest income loans at amortized cost</w:t>
            </w:r>
          </w:p>
        </w:tc>
        <w:tc>
          <w:tcPr>
            <w:tcW w:w="1640" w:type="dxa"/>
            <w:vAlign w:val="bottom"/>
            <w:gridSpan w:val="3"/>
          </w:tcPr>
          <w:p>
            <w:pPr>
              <w:jc w:val="right"/>
              <w:ind w:right="120"/>
              <w:spacing w:after="0"/>
              <w:rPr>
                <w:sz w:val="20"/>
                <w:szCs w:val="20"/>
                <w:color w:val="auto"/>
              </w:rPr>
            </w:pPr>
            <w:r>
              <w:rPr>
                <w:rFonts w:ascii="Arial" w:cs="Arial" w:eastAsia="Arial" w:hAnsi="Arial"/>
                <w:sz w:val="18"/>
                <w:szCs w:val="18"/>
                <w:color w:val="auto"/>
              </w:rPr>
              <w:t>(3,127)</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4"/>
              </w:rPr>
              <w:t>Interest expense – borrowings and debt</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3"/>
          </w:tcPr>
          <w:p>
            <w:pPr>
              <w:jc w:val="right"/>
              <w:ind w:right="180"/>
              <w:spacing w:after="0"/>
              <w:rPr>
                <w:sz w:val="20"/>
                <w:szCs w:val="20"/>
                <w:color w:val="auto"/>
              </w:rPr>
            </w:pPr>
            <w:r>
              <w:rPr>
                <w:rFonts w:ascii="Arial" w:cs="Arial" w:eastAsia="Arial" w:hAnsi="Arial"/>
                <w:sz w:val="18"/>
                <w:szCs w:val="18"/>
                <w:color w:val="auto"/>
              </w:rPr>
              <w:t>847</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0"/>
              </w:rPr>
              <w:t>Gain (loss) on foreign currency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3,259</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2,954</w:t>
            </w:r>
          </w:p>
        </w:tc>
        <w:tc>
          <w:tcPr>
            <w:tcW w:w="180" w:type="dxa"/>
            <w:vAlign w:val="bottom"/>
          </w:tcPr>
          <w:p>
            <w:pPr>
              <w:spacing w:after="0"/>
              <w:rPr>
                <w:sz w:val="19"/>
                <w:szCs w:val="19"/>
                <w:color w:val="auto"/>
              </w:rPr>
            </w:pPr>
          </w:p>
        </w:tc>
        <w:tc>
          <w:tcPr>
            <w:tcW w:w="30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979</w:t>
            </w:r>
          </w:p>
        </w:tc>
        <w:tc>
          <w:tcPr>
            <w:tcW w:w="18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(1,286</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0" w:type="dxa"/>
            <w:vAlign w:val="bottom"/>
            <w:vMerge w:val="restart"/>
          </w:tcPr>
          <w:p>
            <w:pPr>
              <w:ind w:left="340"/>
              <w:spacing w:after="0"/>
              <w:rPr>
                <w:sz w:val="20"/>
                <w:szCs w:val="20"/>
                <w:color w:val="auto"/>
              </w:rPr>
            </w:pPr>
            <w:r>
              <w:rPr>
                <w:rFonts w:ascii="Arial" w:cs="Arial" w:eastAsia="Arial" w:hAnsi="Arial"/>
                <w:sz w:val="18"/>
                <w:szCs w:val="18"/>
                <w:color w:val="auto"/>
              </w:rPr>
              <w:t>32</w:t>
            </w: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4" w:name="page35"/>
    <w:bookmarkEnd w:id="34"/>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Three months ended at September 30, 2015</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4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6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reclassified from</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accumulated OCI</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Gain (loss)</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to the</w:t>
            </w:r>
          </w:p>
        </w:tc>
        <w:tc>
          <w:tcPr>
            <w:tcW w:w="12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recognized in</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OCI (effective</w:t>
            </w:r>
          </w:p>
        </w:tc>
        <w:tc>
          <w:tcPr>
            <w:tcW w:w="3000" w:type="dxa"/>
            <w:vAlign w:val="bottom"/>
          </w:tcPr>
          <w:p>
            <w:pPr>
              <w:ind w:left="700"/>
              <w:spacing w:after="0"/>
              <w:rPr>
                <w:sz w:val="20"/>
                <w:szCs w:val="20"/>
                <w:color w:val="auto"/>
              </w:rPr>
            </w:pPr>
            <w:r>
              <w:rPr>
                <w:rFonts w:ascii="Arial" w:cs="Arial" w:eastAsia="Arial" w:hAnsi="Arial"/>
                <w:sz w:val="18"/>
                <w:szCs w:val="18"/>
                <w:b w:val="1"/>
                <w:bCs w:val="1"/>
                <w:color w:val="auto"/>
              </w:rPr>
              <w:t>Classification of gain</w:t>
            </w: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4"/>
              </w:rPr>
              <w:t>portion)</w:t>
            </w:r>
          </w:p>
        </w:tc>
        <w:tc>
          <w:tcPr>
            <w:tcW w:w="3000" w:type="dxa"/>
            <w:vAlign w:val="bottom"/>
          </w:tcPr>
          <w:p>
            <w:pPr>
              <w:ind w:left="1300"/>
              <w:spacing w:after="0"/>
              <w:rPr>
                <w:sz w:val="20"/>
                <w:szCs w:val="20"/>
                <w:color w:val="auto"/>
              </w:rPr>
            </w:pPr>
            <w:r>
              <w:rPr>
                <w:rFonts w:ascii="Arial" w:cs="Arial" w:eastAsia="Arial" w:hAnsi="Arial"/>
                <w:sz w:val="18"/>
                <w:szCs w:val="18"/>
                <w:b w:val="1"/>
                <w:bCs w:val="1"/>
                <w:color w:val="auto"/>
              </w:rPr>
              <w:t>(loss)</w:t>
            </w:r>
          </w:p>
        </w:tc>
        <w:tc>
          <w:tcPr>
            <w:tcW w:w="80" w:type="dxa"/>
            <w:vAlign w:val="bottom"/>
          </w:tcPr>
          <w:p>
            <w:pPr>
              <w:spacing w:after="0"/>
              <w:rPr>
                <w:sz w:val="20"/>
                <w:szCs w:val="20"/>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profit or loss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cash flow hedge</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0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(1,328)</w:t>
            </w:r>
          </w:p>
        </w:tc>
        <w:tc>
          <w:tcPr>
            <w:tcW w:w="3000" w:type="dxa"/>
            <w:vAlign w:val="bottom"/>
          </w:tcPr>
          <w:p>
            <w:pPr>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3,741</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0"/>
              </w:rPr>
              <w:t>Gain (loss) on foreign currency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restart"/>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1,965</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9"/>
              </w:rPr>
              <w:t>Interest income – securities at FVOCI</w:t>
            </w:r>
          </w:p>
        </w:tc>
        <w:tc>
          <w:tcPr>
            <w:tcW w:w="16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(159)</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w w:val="95"/>
              </w:rPr>
              <w:t>Interest income loans at amortized cost</w:t>
            </w:r>
          </w:p>
        </w:tc>
        <w:tc>
          <w:tcPr>
            <w:tcW w:w="1640" w:type="dxa"/>
            <w:vAlign w:val="bottom"/>
            <w:gridSpan w:val="3"/>
          </w:tcPr>
          <w:p>
            <w:pPr>
              <w:jc w:val="right"/>
              <w:ind w:right="120"/>
              <w:spacing w:after="0"/>
              <w:rPr>
                <w:sz w:val="20"/>
                <w:szCs w:val="20"/>
                <w:color w:val="auto"/>
              </w:rPr>
            </w:pPr>
            <w:r>
              <w:rPr>
                <w:rFonts w:ascii="Arial" w:cs="Arial" w:eastAsia="Arial" w:hAnsi="Arial"/>
                <w:sz w:val="18"/>
                <w:szCs w:val="18"/>
                <w:color w:val="auto"/>
              </w:rPr>
              <w:t>(498)</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4"/>
              </w:rPr>
              <w:t>Interest expense – borrowings and debt</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3"/>
          </w:tcPr>
          <w:p>
            <w:pPr>
              <w:jc w:val="right"/>
              <w:ind w:right="120"/>
              <w:spacing w:after="0"/>
              <w:rPr>
                <w:sz w:val="20"/>
                <w:szCs w:val="20"/>
                <w:color w:val="auto"/>
              </w:rPr>
            </w:pPr>
            <w:r>
              <w:rPr>
                <w:rFonts w:ascii="Arial" w:cs="Arial" w:eastAsia="Arial" w:hAnsi="Arial"/>
                <w:sz w:val="18"/>
                <w:szCs w:val="18"/>
                <w:color w:val="auto"/>
              </w:rPr>
              <w:t>(18)</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0"/>
              </w:rPr>
              <w:t>Gain (loss) on foreign currency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4,359</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4,378</w:t>
            </w:r>
          </w:p>
        </w:tc>
        <w:tc>
          <w:tcPr>
            <w:tcW w:w="180" w:type="dxa"/>
            <w:vAlign w:val="bottom"/>
          </w:tcPr>
          <w:p>
            <w:pPr>
              <w:spacing w:after="0"/>
              <w:rPr>
                <w:sz w:val="22"/>
                <w:szCs w:val="22"/>
                <w:color w:val="auto"/>
              </w:rPr>
            </w:pPr>
          </w:p>
        </w:tc>
        <w:tc>
          <w:tcPr>
            <w:tcW w:w="300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3,684</w:t>
            </w:r>
          </w:p>
        </w:tc>
        <w:tc>
          <w:tcPr>
            <w:tcW w:w="180" w:type="dxa"/>
            <w:vAlign w:val="bottom"/>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34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30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b w:val="1"/>
                <w:bCs w:val="1"/>
                <w:color w:val="auto"/>
              </w:rPr>
              <w:t>Derivatives – net investment hedge</w:t>
            </w: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533</w:t>
            </w:r>
          </w:p>
        </w:tc>
        <w:tc>
          <w:tcPr>
            <w:tcW w:w="3000" w:type="dxa"/>
            <w:vAlign w:val="bottom"/>
            <w:shd w:val="clear" w:color="auto" w:fill="CCEEFF"/>
          </w:tcPr>
          <w:p>
            <w:pPr>
              <w:spacing w:after="0"/>
              <w:rPr>
                <w:sz w:val="19"/>
                <w:szCs w:val="19"/>
                <w:color w:val="auto"/>
              </w:rPr>
            </w:pP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533</w:t>
            </w:r>
          </w:p>
        </w:tc>
        <w:tc>
          <w:tcPr>
            <w:tcW w:w="180" w:type="dxa"/>
            <w:vAlign w:val="bottom"/>
          </w:tcPr>
          <w:p>
            <w:pPr>
              <w:spacing w:after="0"/>
              <w:rPr>
                <w:sz w:val="19"/>
                <w:szCs w:val="19"/>
                <w:color w:val="auto"/>
              </w:rPr>
            </w:pPr>
          </w:p>
        </w:tc>
        <w:tc>
          <w:tcPr>
            <w:tcW w:w="30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0" w:type="dxa"/>
            <w:vAlign w:val="bottom"/>
            <w:vMerge w:val="restart"/>
          </w:tcPr>
          <w:p>
            <w:pPr>
              <w:ind w:left="340"/>
              <w:spacing w:after="0"/>
              <w:rPr>
                <w:sz w:val="20"/>
                <w:szCs w:val="20"/>
                <w:color w:val="auto"/>
              </w:rPr>
            </w:pPr>
            <w:r>
              <w:rPr>
                <w:rFonts w:ascii="Arial" w:cs="Arial" w:eastAsia="Arial" w:hAnsi="Arial"/>
                <w:sz w:val="18"/>
                <w:szCs w:val="18"/>
                <w:color w:val="auto"/>
              </w:rPr>
              <w:t>33</w:t>
            </w: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5" w:name="page36"/>
    <w:bookmarkEnd w:id="3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4640" w:type="dxa"/>
            <w:vAlign w:val="bottom"/>
            <w:tcBorders>
              <w:bottom w:val="single" w:sz="8" w:color="auto"/>
            </w:tcBorders>
            <w:gridSpan w:val="4"/>
          </w:tcPr>
          <w:p>
            <w:pPr>
              <w:ind w:left="620"/>
              <w:spacing w:after="0"/>
              <w:rPr>
                <w:sz w:val="20"/>
                <w:szCs w:val="20"/>
                <w:color w:val="auto"/>
              </w:rPr>
            </w:pPr>
            <w:r>
              <w:rPr>
                <w:rFonts w:ascii="Arial" w:cs="Arial" w:eastAsia="Arial" w:hAnsi="Arial"/>
                <w:sz w:val="18"/>
                <w:szCs w:val="18"/>
                <w:b w:val="1"/>
                <w:bCs w:val="1"/>
                <w:color w:val="auto"/>
              </w:rPr>
              <w:t>Nine months ended at September 30, 2015</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34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56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reclassified from</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64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3"/>
              </w:rPr>
              <w:t>accumulated OCI</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Gain (loss)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Gain (loss)</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to the</w:t>
            </w:r>
          </w:p>
        </w:tc>
        <w:tc>
          <w:tcPr>
            <w:tcW w:w="12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recognized on</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recognized in</w:t>
            </w: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derivatives</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OCI (effective</w:t>
            </w:r>
          </w:p>
        </w:tc>
        <w:tc>
          <w:tcPr>
            <w:tcW w:w="3000" w:type="dxa"/>
            <w:vAlign w:val="bottom"/>
          </w:tcPr>
          <w:p>
            <w:pPr>
              <w:ind w:left="700"/>
              <w:spacing w:after="0"/>
              <w:rPr>
                <w:sz w:val="20"/>
                <w:szCs w:val="20"/>
                <w:color w:val="auto"/>
              </w:rPr>
            </w:pPr>
            <w:r>
              <w:rPr>
                <w:rFonts w:ascii="Arial" w:cs="Arial" w:eastAsia="Arial" w:hAnsi="Arial"/>
                <w:sz w:val="18"/>
                <w:szCs w:val="18"/>
                <w:b w:val="1"/>
                <w:bCs w:val="1"/>
                <w:color w:val="auto"/>
              </w:rPr>
              <w:t>Classification of gain</w:t>
            </w:r>
          </w:p>
        </w:tc>
        <w:tc>
          <w:tcPr>
            <w:tcW w:w="80" w:type="dxa"/>
            <w:vAlign w:val="bottom"/>
          </w:tcPr>
          <w:p>
            <w:pPr>
              <w:spacing w:after="0"/>
              <w:rPr>
                <w:sz w:val="18"/>
                <w:szCs w:val="18"/>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(ineffective</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3480" w:type="dxa"/>
            <w:vAlign w:val="bottom"/>
          </w:tcPr>
          <w:p>
            <w:pPr>
              <w:spacing w:after="0"/>
              <w:rPr>
                <w:sz w:val="20"/>
                <w:szCs w:val="20"/>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4"/>
              </w:rPr>
              <w:t>portion)</w:t>
            </w:r>
          </w:p>
        </w:tc>
        <w:tc>
          <w:tcPr>
            <w:tcW w:w="3000" w:type="dxa"/>
            <w:vAlign w:val="bottom"/>
          </w:tcPr>
          <w:p>
            <w:pPr>
              <w:ind w:left="1300"/>
              <w:spacing w:after="0"/>
              <w:rPr>
                <w:sz w:val="20"/>
                <w:szCs w:val="20"/>
                <w:color w:val="auto"/>
              </w:rPr>
            </w:pPr>
            <w:r>
              <w:rPr>
                <w:rFonts w:ascii="Arial" w:cs="Arial" w:eastAsia="Arial" w:hAnsi="Arial"/>
                <w:sz w:val="18"/>
                <w:szCs w:val="18"/>
                <w:b w:val="1"/>
                <w:bCs w:val="1"/>
                <w:color w:val="auto"/>
              </w:rPr>
              <w:t>(loss)</w:t>
            </w:r>
          </w:p>
        </w:tc>
        <w:tc>
          <w:tcPr>
            <w:tcW w:w="80" w:type="dxa"/>
            <w:vAlign w:val="bottom"/>
          </w:tcPr>
          <w:p>
            <w:pPr>
              <w:spacing w:after="0"/>
              <w:rPr>
                <w:sz w:val="20"/>
                <w:szCs w:val="20"/>
                <w:color w:val="auto"/>
              </w:rPr>
            </w:pPr>
          </w:p>
        </w:tc>
        <w:tc>
          <w:tcPr>
            <w:tcW w:w="15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profit or loss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4"/>
              </w:rPr>
              <w:t>portion)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cash flow hedge</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00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color w:val="auto"/>
              </w:rPr>
              <w:t>Interest rate swaps</w:t>
            </w: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(1,593)</w:t>
            </w:r>
          </w:p>
        </w:tc>
        <w:tc>
          <w:tcPr>
            <w:tcW w:w="3000" w:type="dxa"/>
            <w:vAlign w:val="bottom"/>
          </w:tcPr>
          <w:p>
            <w:pPr>
              <w:spacing w:after="0"/>
              <w:rPr>
                <w:sz w:val="20"/>
                <w:szCs w:val="20"/>
                <w:color w:val="auto"/>
              </w:rPr>
            </w:pPr>
            <w:r>
              <w:rPr>
                <w:rFonts w:ascii="Arial" w:cs="Arial" w:eastAsia="Arial" w:hAnsi="Arial"/>
                <w:sz w:val="18"/>
                <w:szCs w:val="18"/>
                <w:color w:val="auto"/>
              </w:rPr>
              <w:t>Gain (loss) on interest rate swap</w:t>
            </w:r>
          </w:p>
        </w:tc>
        <w:tc>
          <w:tcPr>
            <w:tcW w:w="16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Cross-currency interest rate swaps</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6,787</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0"/>
              </w:rPr>
              <w:t>Gain (loss) on foreign currency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restart"/>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3,571</w:t>
            </w: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9"/>
              </w:rPr>
              <w:t>Interest income – securities at FVOCI</w:t>
            </w:r>
          </w:p>
        </w:tc>
        <w:tc>
          <w:tcPr>
            <w:tcW w:w="1640" w:type="dxa"/>
            <w:vAlign w:val="bottom"/>
            <w:gridSpan w:val="3"/>
            <w:shd w:val="clear" w:color="auto" w:fill="CCEEFF"/>
          </w:tcPr>
          <w:p>
            <w:pPr>
              <w:jc w:val="right"/>
              <w:ind w:right="120"/>
              <w:spacing w:after="0"/>
              <w:rPr>
                <w:sz w:val="20"/>
                <w:szCs w:val="20"/>
                <w:color w:val="auto"/>
              </w:rPr>
            </w:pPr>
            <w:r>
              <w:rPr>
                <w:rFonts w:ascii="Arial" w:cs="Arial" w:eastAsia="Arial" w:hAnsi="Arial"/>
                <w:sz w:val="18"/>
                <w:szCs w:val="18"/>
                <w:color w:val="auto"/>
              </w:rPr>
              <w:t>(694)</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w w:val="95"/>
              </w:rPr>
              <w:t>Interest income loans at amortized cost</w:t>
            </w:r>
          </w:p>
        </w:tc>
        <w:tc>
          <w:tcPr>
            <w:tcW w:w="1640" w:type="dxa"/>
            <w:vAlign w:val="bottom"/>
            <w:gridSpan w:val="3"/>
          </w:tcPr>
          <w:p>
            <w:pPr>
              <w:jc w:val="right"/>
              <w:ind w:right="120"/>
              <w:spacing w:after="0"/>
              <w:rPr>
                <w:sz w:val="20"/>
                <w:szCs w:val="20"/>
                <w:color w:val="auto"/>
              </w:rPr>
            </w:pPr>
            <w:r>
              <w:rPr>
                <w:rFonts w:ascii="Arial" w:cs="Arial" w:eastAsia="Arial" w:hAnsi="Arial"/>
                <w:sz w:val="18"/>
                <w:szCs w:val="18"/>
                <w:color w:val="auto"/>
              </w:rPr>
              <w:t>(1,161)</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4"/>
              </w:rPr>
              <w:t>Interest expense – borrowings and debt</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4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20"/>
                <w:szCs w:val="20"/>
                <w:color w:val="auto"/>
              </w:rPr>
            </w:pPr>
            <w:r>
              <w:rPr>
                <w:rFonts w:ascii="Arial" w:cs="Arial" w:eastAsia="Arial" w:hAnsi="Arial"/>
                <w:sz w:val="18"/>
                <w:szCs w:val="18"/>
                <w:color w:val="auto"/>
              </w:rPr>
              <w:t>Interest expenses – deposits</w:t>
            </w:r>
          </w:p>
        </w:tc>
        <w:tc>
          <w:tcPr>
            <w:tcW w:w="1640" w:type="dxa"/>
            <w:vAlign w:val="bottom"/>
            <w:gridSpan w:val="3"/>
          </w:tcPr>
          <w:p>
            <w:pPr>
              <w:jc w:val="right"/>
              <w:ind w:right="180"/>
              <w:spacing w:after="0"/>
              <w:rPr>
                <w:sz w:val="20"/>
                <w:szCs w:val="20"/>
                <w:color w:val="auto"/>
              </w:rPr>
            </w:pPr>
            <w:r>
              <w:rPr>
                <w:rFonts w:ascii="Arial" w:cs="Arial" w:eastAsia="Arial" w:hAnsi="Arial"/>
                <w:sz w:val="18"/>
                <w:szCs w:val="18"/>
                <w:color w:val="auto"/>
              </w:rPr>
              <w:t>77</w:t>
            </w: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19"/>
                <w:szCs w:val="19"/>
                <w:color w:val="auto"/>
              </w:rPr>
            </w:pPr>
          </w:p>
        </w:tc>
        <w:tc>
          <w:tcPr>
            <w:tcW w:w="11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3000" w:type="dxa"/>
            <w:vAlign w:val="bottom"/>
            <w:shd w:val="clear" w:color="auto" w:fill="CCEEFF"/>
          </w:tcPr>
          <w:p>
            <w:pPr>
              <w:spacing w:after="0"/>
              <w:rPr>
                <w:sz w:val="20"/>
                <w:szCs w:val="20"/>
                <w:color w:val="auto"/>
              </w:rPr>
            </w:pPr>
            <w:r>
              <w:rPr>
                <w:rFonts w:ascii="Arial" w:cs="Arial" w:eastAsia="Arial" w:hAnsi="Arial"/>
                <w:sz w:val="18"/>
                <w:szCs w:val="18"/>
                <w:color w:val="auto"/>
                <w:w w:val="90"/>
              </w:rPr>
              <w:t>Gain (loss) on foreign currency exchange</w:t>
            </w: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10,193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8,765</w:t>
            </w:r>
          </w:p>
        </w:tc>
        <w:tc>
          <w:tcPr>
            <w:tcW w:w="180" w:type="dxa"/>
            <w:vAlign w:val="bottom"/>
          </w:tcPr>
          <w:p>
            <w:pPr>
              <w:spacing w:after="0"/>
              <w:rPr>
                <w:sz w:val="22"/>
                <w:szCs w:val="22"/>
                <w:color w:val="auto"/>
              </w:rPr>
            </w:pPr>
          </w:p>
        </w:tc>
        <w:tc>
          <w:tcPr>
            <w:tcW w:w="300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8,415</w:t>
            </w:r>
          </w:p>
        </w:tc>
        <w:tc>
          <w:tcPr>
            <w:tcW w:w="180" w:type="dxa"/>
            <w:vAlign w:val="bottom"/>
          </w:tcPr>
          <w:p>
            <w:pPr>
              <w:spacing w:after="0"/>
              <w:rPr>
                <w:sz w:val="22"/>
                <w:szCs w:val="22"/>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34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300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3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480" w:type="dxa"/>
            <w:vAlign w:val="bottom"/>
          </w:tcPr>
          <w:p>
            <w:pPr>
              <w:spacing w:after="0"/>
              <w:rPr>
                <w:sz w:val="20"/>
                <w:szCs w:val="20"/>
                <w:color w:val="auto"/>
              </w:rPr>
            </w:pPr>
            <w:r>
              <w:rPr>
                <w:rFonts w:ascii="Arial" w:cs="Arial" w:eastAsia="Arial" w:hAnsi="Arial"/>
                <w:sz w:val="18"/>
                <w:szCs w:val="18"/>
                <w:b w:val="1"/>
                <w:bCs w:val="1"/>
                <w:color w:val="auto"/>
              </w:rPr>
              <w:t>Derivatives – net investment hedge</w:t>
            </w: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48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forward</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957</w:t>
            </w:r>
          </w:p>
        </w:tc>
        <w:tc>
          <w:tcPr>
            <w:tcW w:w="3000" w:type="dxa"/>
            <w:vAlign w:val="bottom"/>
            <w:shd w:val="clear" w:color="auto" w:fill="CCEEFF"/>
          </w:tcPr>
          <w:p>
            <w:pPr>
              <w:spacing w:after="0"/>
              <w:rPr>
                <w:sz w:val="19"/>
                <w:szCs w:val="19"/>
                <w:color w:val="auto"/>
              </w:rPr>
            </w:pPr>
          </w:p>
        </w:tc>
        <w:tc>
          <w:tcPr>
            <w:tcW w:w="16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980" w:type="dxa"/>
            <w:vAlign w:val="bottom"/>
            <w:gridSpan w:val="2"/>
          </w:tcPr>
          <w:p>
            <w:pPr>
              <w:ind w:left="500"/>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957</w:t>
            </w:r>
          </w:p>
        </w:tc>
        <w:tc>
          <w:tcPr>
            <w:tcW w:w="180" w:type="dxa"/>
            <w:vAlign w:val="bottom"/>
          </w:tcPr>
          <w:p>
            <w:pPr>
              <w:spacing w:after="0"/>
              <w:rPr>
                <w:sz w:val="19"/>
                <w:szCs w:val="19"/>
                <w:color w:val="auto"/>
              </w:rPr>
            </w:pPr>
          </w:p>
        </w:tc>
        <w:tc>
          <w:tcPr>
            <w:tcW w:w="30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34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0" w:type="dxa"/>
            <w:vAlign w:val="bottom"/>
            <w:vMerge w:val="restart"/>
          </w:tcPr>
          <w:p>
            <w:pPr>
              <w:ind w:left="340"/>
              <w:spacing w:after="0"/>
              <w:rPr>
                <w:sz w:val="20"/>
                <w:szCs w:val="20"/>
                <w:color w:val="auto"/>
              </w:rPr>
            </w:pPr>
            <w:r>
              <w:rPr>
                <w:rFonts w:ascii="Arial" w:cs="Arial" w:eastAsia="Arial" w:hAnsi="Arial"/>
                <w:sz w:val="18"/>
                <w:szCs w:val="18"/>
                <w:color w:val="auto"/>
              </w:rPr>
              <w:t>34</w:t>
            </w:r>
          </w:p>
        </w:tc>
        <w:tc>
          <w:tcPr>
            <w:tcW w:w="8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4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6" w:name="page37"/>
    <w:bookmarkEnd w:id="3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recognized in the consolidated statement of profit or loss the gain (loss) on derivative financial instruments and the gain (loss) of the hedged asset or liability related to qualifying fair value hedges,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2240" w:type="dxa"/>
            <w:vAlign w:val="bottom"/>
            <w:tcBorders>
              <w:bottom w:val="single" w:sz="8" w:color="auto"/>
            </w:tcBorders>
          </w:tcPr>
          <w:p>
            <w:pPr>
              <w:spacing w:after="0"/>
              <w:rPr>
                <w:sz w:val="20"/>
                <w:szCs w:val="20"/>
                <w:color w:val="auto"/>
              </w:rPr>
            </w:pPr>
          </w:p>
        </w:tc>
        <w:tc>
          <w:tcPr>
            <w:tcW w:w="2740" w:type="dxa"/>
            <w:vAlign w:val="bottom"/>
            <w:tcBorders>
              <w:bottom w:val="single" w:sz="8" w:color="auto"/>
            </w:tcBorders>
            <w:gridSpan w:val="5"/>
          </w:tcPr>
          <w:p>
            <w:pPr>
              <w:jc w:val="right"/>
              <w:ind w:right="1080"/>
              <w:spacing w:after="0"/>
              <w:rPr>
                <w:sz w:val="20"/>
                <w:szCs w:val="20"/>
                <w:color w:val="auto"/>
              </w:rPr>
            </w:pPr>
            <w:r>
              <w:rPr>
                <w:rFonts w:ascii="Arial" w:cs="Arial" w:eastAsia="Arial" w:hAnsi="Arial"/>
                <w:sz w:val="18"/>
                <w:szCs w:val="18"/>
                <w:b w:val="1"/>
                <w:bCs w:val="1"/>
                <w:color w:val="auto"/>
                <w:w w:val="92"/>
              </w:rPr>
              <w:t>September 30, 2016</w:t>
            </w: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48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240" w:type="dxa"/>
            <w:vAlign w:val="bottom"/>
          </w:tcPr>
          <w:p>
            <w:pPr>
              <w:spacing w:after="0"/>
              <w:rPr>
                <w:sz w:val="20"/>
                <w:szCs w:val="20"/>
                <w:color w:val="auto"/>
              </w:rPr>
            </w:pPr>
            <w:r>
              <w:rPr>
                <w:rFonts w:ascii="Arial" w:cs="Arial" w:eastAsia="Arial" w:hAnsi="Arial"/>
                <w:sz w:val="18"/>
                <w:szCs w:val="18"/>
                <w:b w:val="1"/>
                <w:bCs w:val="1"/>
                <w:color w:val="auto"/>
                <w:w w:val="87"/>
              </w:rPr>
              <w:t>Classification in consolidated</w:t>
            </w:r>
          </w:p>
        </w:tc>
        <w:tc>
          <w:tcPr>
            <w:tcW w:w="100" w:type="dxa"/>
            <w:vAlign w:val="bottom"/>
          </w:tcPr>
          <w:p>
            <w:pPr>
              <w:spacing w:after="0"/>
              <w:rPr>
                <w:sz w:val="18"/>
                <w:szCs w:val="18"/>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on</w:t>
            </w: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Gain (loss) on</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2240" w:type="dxa"/>
            <w:vAlign w:val="bottom"/>
          </w:tcPr>
          <w:p>
            <w:pPr>
              <w:ind w:left="140"/>
              <w:spacing w:after="0"/>
              <w:rPr>
                <w:sz w:val="20"/>
                <w:szCs w:val="20"/>
                <w:color w:val="auto"/>
              </w:rPr>
            </w:pPr>
            <w:r>
              <w:rPr>
                <w:rFonts w:ascii="Arial" w:cs="Arial" w:eastAsia="Arial" w:hAnsi="Arial"/>
                <w:sz w:val="18"/>
                <w:szCs w:val="18"/>
                <w:b w:val="1"/>
                <w:bCs w:val="1"/>
                <w:color w:val="auto"/>
                <w:w w:val="93"/>
              </w:rPr>
              <w:t>statement of profit or loss</w:t>
            </w:r>
          </w:p>
        </w:tc>
        <w:tc>
          <w:tcPr>
            <w:tcW w:w="100" w:type="dxa"/>
            <w:vAlign w:val="bottom"/>
          </w:tcPr>
          <w:p>
            <w:pPr>
              <w:spacing w:after="0"/>
              <w:rPr>
                <w:sz w:val="20"/>
                <w:szCs w:val="20"/>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derivatives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88"/>
              </w:rPr>
              <w:t>Net gain (loss)</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fair value hedge</w:t>
            </w:r>
          </w:p>
        </w:tc>
        <w:tc>
          <w:tcPr>
            <w:tcW w:w="2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92"/>
              </w:rPr>
              <w:t>Interest income – securities at</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2240" w:type="dxa"/>
            <w:vAlign w:val="bottom"/>
          </w:tcPr>
          <w:p>
            <w:pPr>
              <w:spacing w:after="0"/>
              <w:rPr>
                <w:sz w:val="20"/>
                <w:szCs w:val="20"/>
                <w:color w:val="auto"/>
              </w:rPr>
            </w:pPr>
            <w:r>
              <w:rPr>
                <w:rFonts w:ascii="Arial" w:cs="Arial" w:eastAsia="Arial" w:hAnsi="Arial"/>
                <w:sz w:val="18"/>
                <w:szCs w:val="18"/>
                <w:color w:val="auto"/>
              </w:rPr>
              <w:t>FVOCI</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(507)</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1,243</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736</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Interest income at amortized</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cost</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(265)</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1,803</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1,538</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88"/>
              </w:rPr>
              <w:t>Interest expenses – borrowings</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and debt</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3,945</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(21,193)</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(17,248)</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instruments and hedging</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(3,369)</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4,329</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960</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rPr>
              <w:t>Interest income loans at</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2240" w:type="dxa"/>
            <w:vAlign w:val="bottom"/>
          </w:tcPr>
          <w:p>
            <w:pPr>
              <w:spacing w:after="0"/>
              <w:rPr>
                <w:sz w:val="20"/>
                <w:szCs w:val="20"/>
                <w:color w:val="auto"/>
              </w:rPr>
            </w:pPr>
            <w:r>
              <w:rPr>
                <w:rFonts w:ascii="Arial" w:cs="Arial" w:eastAsia="Arial" w:hAnsi="Arial"/>
                <w:sz w:val="18"/>
                <w:szCs w:val="18"/>
                <w:color w:val="auto"/>
              </w:rPr>
              <w:t>amortized cost</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(265)</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673</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408</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88"/>
              </w:rPr>
              <w:t>Interest expenses – borrowings</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and debt</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50</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(4,383)</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(4,333)</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rPr>
              <w:t>Derivative financial</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00" w:type="dxa"/>
            <w:vAlign w:val="bottom"/>
          </w:tcPr>
          <w:p>
            <w:pPr>
              <w:spacing w:after="0"/>
              <w:rPr>
                <w:sz w:val="21"/>
                <w:szCs w:val="21"/>
                <w:color w:val="auto"/>
              </w:rPr>
            </w:pPr>
          </w:p>
        </w:tc>
        <w:tc>
          <w:tcPr>
            <w:tcW w:w="4480" w:type="dxa"/>
            <w:vAlign w:val="bottom"/>
          </w:tcPr>
          <w:p>
            <w:pPr>
              <w:spacing w:after="0"/>
              <w:rPr>
                <w:sz w:val="21"/>
                <w:szCs w:val="21"/>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instruments and hedging</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(2,358)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1,970</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(388)</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4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(2,769</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(15,558</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(18,327</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c>
          <w:tcPr>
            <w:tcW w:w="2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4480" w:type="dxa"/>
            <w:vAlign w:val="bottom"/>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2740" w:type="dxa"/>
            <w:vAlign w:val="bottom"/>
            <w:tcBorders>
              <w:bottom w:val="single" w:sz="8" w:color="auto"/>
            </w:tcBorders>
            <w:gridSpan w:val="5"/>
          </w:tcPr>
          <w:p>
            <w:pPr>
              <w:jc w:val="right"/>
              <w:ind w:right="1080"/>
              <w:spacing w:after="0"/>
              <w:rPr>
                <w:sz w:val="20"/>
                <w:szCs w:val="20"/>
                <w:color w:val="auto"/>
              </w:rPr>
            </w:pPr>
            <w:r>
              <w:rPr>
                <w:rFonts w:ascii="Arial" w:cs="Arial" w:eastAsia="Arial" w:hAnsi="Arial"/>
                <w:sz w:val="18"/>
                <w:szCs w:val="18"/>
                <w:b w:val="1"/>
                <w:bCs w:val="1"/>
                <w:color w:val="auto"/>
                <w:w w:val="92"/>
              </w:rPr>
              <w:t>September 30, 2015</w:t>
            </w:r>
          </w:p>
        </w:tc>
        <w:tc>
          <w:tcPr>
            <w:tcW w:w="11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480" w:type="dxa"/>
            <w:vAlign w:val="bottom"/>
          </w:tcPr>
          <w:p>
            <w:pPr>
              <w:spacing w:after="0"/>
              <w:rPr>
                <w:sz w:val="16"/>
                <w:szCs w:val="16"/>
                <w:color w:val="auto"/>
              </w:rPr>
            </w:pPr>
          </w:p>
        </w:tc>
        <w:tc>
          <w:tcPr>
            <w:tcW w:w="2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300" w:type="dxa"/>
            <w:vAlign w:val="bottom"/>
            <w:gridSpan w:val="2"/>
          </w:tcPr>
          <w:p>
            <w:pPr>
              <w:jc w:val="center"/>
              <w:ind w:right="120"/>
              <w:spacing w:after="0" w:line="191" w:lineRule="exact"/>
              <w:rPr>
                <w:sz w:val="20"/>
                <w:szCs w:val="20"/>
                <w:color w:val="auto"/>
              </w:rPr>
            </w:pPr>
            <w:r>
              <w:rPr>
                <w:rFonts w:ascii="Arial" w:cs="Arial" w:eastAsia="Arial" w:hAnsi="Arial"/>
                <w:sz w:val="18"/>
                <w:szCs w:val="18"/>
                <w:b w:val="1"/>
                <w:bCs w:val="1"/>
                <w:color w:val="auto"/>
                <w:w w:val="88"/>
              </w:rPr>
              <w:t>Gain (loss)</w:t>
            </w: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480" w:type="dxa"/>
            <w:vAlign w:val="bottom"/>
          </w:tcPr>
          <w:p>
            <w:pPr>
              <w:spacing w:after="0"/>
              <w:rPr>
                <w:sz w:val="18"/>
                <w:szCs w:val="18"/>
                <w:color w:val="auto"/>
              </w:rPr>
            </w:pPr>
          </w:p>
        </w:tc>
        <w:tc>
          <w:tcPr>
            <w:tcW w:w="2240" w:type="dxa"/>
            <w:vAlign w:val="bottom"/>
          </w:tcPr>
          <w:p>
            <w:pPr>
              <w:spacing w:after="0"/>
              <w:rPr>
                <w:sz w:val="20"/>
                <w:szCs w:val="20"/>
                <w:color w:val="auto"/>
              </w:rPr>
            </w:pPr>
            <w:r>
              <w:rPr>
                <w:rFonts w:ascii="Arial" w:cs="Arial" w:eastAsia="Arial" w:hAnsi="Arial"/>
                <w:sz w:val="18"/>
                <w:szCs w:val="18"/>
                <w:b w:val="1"/>
                <w:bCs w:val="1"/>
                <w:color w:val="auto"/>
                <w:w w:val="87"/>
              </w:rPr>
              <w:t>Classification in consolidated</w:t>
            </w:r>
          </w:p>
        </w:tc>
        <w:tc>
          <w:tcPr>
            <w:tcW w:w="100" w:type="dxa"/>
            <w:vAlign w:val="bottom"/>
          </w:tcPr>
          <w:p>
            <w:pPr>
              <w:spacing w:after="0"/>
              <w:rPr>
                <w:sz w:val="18"/>
                <w:szCs w:val="18"/>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on</w:t>
            </w:r>
          </w:p>
        </w:tc>
        <w:tc>
          <w:tcPr>
            <w:tcW w:w="13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8"/>
              </w:rPr>
              <w:t>Gain (loss) on</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2240" w:type="dxa"/>
            <w:vAlign w:val="bottom"/>
          </w:tcPr>
          <w:p>
            <w:pPr>
              <w:ind w:left="140"/>
              <w:spacing w:after="0"/>
              <w:rPr>
                <w:sz w:val="20"/>
                <w:szCs w:val="20"/>
                <w:color w:val="auto"/>
              </w:rPr>
            </w:pPr>
            <w:r>
              <w:rPr>
                <w:rFonts w:ascii="Arial" w:cs="Arial" w:eastAsia="Arial" w:hAnsi="Arial"/>
                <w:sz w:val="18"/>
                <w:szCs w:val="18"/>
                <w:b w:val="1"/>
                <w:bCs w:val="1"/>
                <w:color w:val="auto"/>
                <w:w w:val="93"/>
              </w:rPr>
              <w:t>statement of profit or loss</w:t>
            </w:r>
          </w:p>
        </w:tc>
        <w:tc>
          <w:tcPr>
            <w:tcW w:w="100" w:type="dxa"/>
            <w:vAlign w:val="bottom"/>
          </w:tcPr>
          <w:p>
            <w:pPr>
              <w:spacing w:after="0"/>
              <w:rPr>
                <w:sz w:val="20"/>
                <w:szCs w:val="20"/>
                <w:color w:val="auto"/>
              </w:rPr>
            </w:pPr>
          </w:p>
        </w:tc>
        <w:tc>
          <w:tcPr>
            <w:tcW w:w="130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derivatives</w:t>
            </w:r>
          </w:p>
        </w:tc>
        <w:tc>
          <w:tcPr>
            <w:tcW w:w="13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hedge item</w:t>
            </w:r>
          </w:p>
        </w:tc>
        <w:tc>
          <w:tcPr>
            <w:tcW w:w="12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88"/>
              </w:rPr>
              <w:t>Net gain (loss)</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Derivatives – fair value hedge</w:t>
            </w:r>
          </w:p>
        </w:tc>
        <w:tc>
          <w:tcPr>
            <w:tcW w:w="2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92"/>
              </w:rPr>
              <w:t>Interest income – securities at</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ind w:left="160"/>
              <w:spacing w:after="0"/>
              <w:rPr>
                <w:sz w:val="20"/>
                <w:szCs w:val="20"/>
                <w:color w:val="auto"/>
              </w:rPr>
            </w:pPr>
            <w:r>
              <w:rPr>
                <w:rFonts w:ascii="Arial" w:cs="Arial" w:eastAsia="Arial" w:hAnsi="Arial"/>
                <w:sz w:val="18"/>
                <w:szCs w:val="18"/>
                <w:color w:val="auto"/>
              </w:rPr>
              <w:t>Interest rate swaps</w:t>
            </w:r>
          </w:p>
        </w:tc>
        <w:tc>
          <w:tcPr>
            <w:tcW w:w="2240" w:type="dxa"/>
            <w:vAlign w:val="bottom"/>
          </w:tcPr>
          <w:p>
            <w:pPr>
              <w:spacing w:after="0"/>
              <w:rPr>
                <w:sz w:val="20"/>
                <w:szCs w:val="20"/>
                <w:color w:val="auto"/>
              </w:rPr>
            </w:pPr>
            <w:r>
              <w:rPr>
                <w:rFonts w:ascii="Arial" w:cs="Arial" w:eastAsia="Arial" w:hAnsi="Arial"/>
                <w:sz w:val="18"/>
                <w:szCs w:val="18"/>
                <w:color w:val="auto"/>
              </w:rPr>
              <w:t>FVOCI</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(828)</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1,133</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305</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Interest income loans at</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amortized cost</w:t>
            </w:r>
          </w:p>
        </w:tc>
        <w:tc>
          <w:tcPr>
            <w:tcW w:w="14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(307)</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3,077</w:t>
            </w:r>
          </w:p>
        </w:tc>
        <w:tc>
          <w:tcPr>
            <w:tcW w:w="12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2,770</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88"/>
              </w:rPr>
              <w:t>Interest expenses – borrowings</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spacing w:after="0"/>
              <w:rPr>
                <w:sz w:val="20"/>
                <w:szCs w:val="20"/>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and debt</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4,481</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(16,959)</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(12,478)</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instruments and hedging</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4,504</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(4,926)</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(422)</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w w:val="97"/>
              </w:rPr>
              <w:t>Interest income at amortized</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tcPr>
          <w:p>
            <w:pPr>
              <w:ind w:left="160"/>
              <w:spacing w:after="0"/>
              <w:rPr>
                <w:sz w:val="20"/>
                <w:szCs w:val="20"/>
                <w:color w:val="auto"/>
              </w:rPr>
            </w:pPr>
            <w:r>
              <w:rPr>
                <w:rFonts w:ascii="Arial" w:cs="Arial" w:eastAsia="Arial" w:hAnsi="Arial"/>
                <w:sz w:val="18"/>
                <w:szCs w:val="18"/>
                <w:color w:val="auto"/>
              </w:rPr>
              <w:t>Cross-currency interest rate swaps</w:t>
            </w:r>
          </w:p>
        </w:tc>
        <w:tc>
          <w:tcPr>
            <w:tcW w:w="2240" w:type="dxa"/>
            <w:vAlign w:val="bottom"/>
          </w:tcPr>
          <w:p>
            <w:pPr>
              <w:spacing w:after="0"/>
              <w:rPr>
                <w:sz w:val="20"/>
                <w:szCs w:val="20"/>
                <w:color w:val="auto"/>
              </w:rPr>
            </w:pPr>
            <w:r>
              <w:rPr>
                <w:rFonts w:ascii="Arial" w:cs="Arial" w:eastAsia="Arial" w:hAnsi="Arial"/>
                <w:sz w:val="18"/>
                <w:szCs w:val="18"/>
                <w:color w:val="auto"/>
              </w:rPr>
              <w:t>cost</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(131)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324</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193</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shd w:val="clear" w:color="auto" w:fill="CCEEFF"/>
          </w:tcPr>
          <w:p>
            <w:pPr>
              <w:spacing w:after="0"/>
              <w:rPr>
                <w:sz w:val="17"/>
                <w:szCs w:val="17"/>
                <w:color w:val="auto"/>
              </w:rPr>
            </w:pPr>
          </w:p>
        </w:tc>
        <w:tc>
          <w:tcPr>
            <w:tcW w:w="22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88"/>
              </w:rPr>
              <w:t>Interest expenses – borrowings</w:t>
            </w:r>
          </w:p>
        </w:tc>
        <w:tc>
          <w:tcPr>
            <w:tcW w:w="1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4480" w:type="dxa"/>
            <w:vAlign w:val="bottom"/>
            <w:shd w:val="clear" w:color="auto" w:fill="CCEEFF"/>
          </w:tcPr>
          <w:p>
            <w:pPr>
              <w:spacing w:after="0"/>
              <w:rPr>
                <w:sz w:val="20"/>
                <w:szCs w:val="20"/>
                <w:color w:val="auto"/>
              </w:rPr>
            </w:pPr>
          </w:p>
        </w:tc>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and debt</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840</w:t>
            </w:r>
          </w:p>
        </w:tc>
        <w:tc>
          <w:tcPr>
            <w:tcW w:w="13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(3,090)</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(2,250)</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4480" w:type="dxa"/>
            <w:vAlign w:val="bottom"/>
          </w:tcPr>
          <w:p>
            <w:pPr>
              <w:spacing w:after="0"/>
              <w:rPr>
                <w:sz w:val="17"/>
                <w:szCs w:val="17"/>
                <w:color w:val="auto"/>
              </w:rPr>
            </w:pPr>
          </w:p>
        </w:tc>
        <w:tc>
          <w:tcPr>
            <w:tcW w:w="2240" w:type="dxa"/>
            <w:vAlign w:val="bottom"/>
          </w:tcPr>
          <w:p>
            <w:pPr>
              <w:spacing w:after="0" w:line="201" w:lineRule="exact"/>
              <w:rPr>
                <w:sz w:val="20"/>
                <w:szCs w:val="20"/>
                <w:color w:val="auto"/>
              </w:rPr>
            </w:pPr>
            <w:r>
              <w:rPr>
                <w:rFonts w:ascii="Arial" w:cs="Arial" w:eastAsia="Arial" w:hAnsi="Arial"/>
                <w:sz w:val="18"/>
                <w:szCs w:val="18"/>
                <w:color w:val="auto"/>
              </w:rPr>
              <w:t>Derivative financial</w:t>
            </w:r>
          </w:p>
        </w:tc>
        <w:tc>
          <w:tcPr>
            <w:tcW w:w="1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500" w:type="dxa"/>
            <w:vAlign w:val="bottom"/>
          </w:tcPr>
          <w:p>
            <w:pPr>
              <w:spacing w:after="0"/>
              <w:rPr>
                <w:sz w:val="21"/>
                <w:szCs w:val="21"/>
                <w:color w:val="auto"/>
              </w:rPr>
            </w:pPr>
          </w:p>
        </w:tc>
        <w:tc>
          <w:tcPr>
            <w:tcW w:w="4480" w:type="dxa"/>
            <w:vAlign w:val="bottom"/>
          </w:tcPr>
          <w:p>
            <w:pPr>
              <w:spacing w:after="0"/>
              <w:rPr>
                <w:sz w:val="21"/>
                <w:szCs w:val="21"/>
                <w:color w:val="auto"/>
              </w:rPr>
            </w:pPr>
          </w:p>
        </w:tc>
        <w:tc>
          <w:tcPr>
            <w:tcW w:w="2240" w:type="dxa"/>
            <w:vAlign w:val="bottom"/>
          </w:tcPr>
          <w:p>
            <w:pPr>
              <w:spacing w:after="0"/>
              <w:rPr>
                <w:sz w:val="20"/>
                <w:szCs w:val="20"/>
                <w:color w:val="auto"/>
              </w:rPr>
            </w:pPr>
            <w:r>
              <w:rPr>
                <w:rFonts w:ascii="Arial" w:cs="Arial" w:eastAsia="Arial" w:hAnsi="Arial"/>
                <w:sz w:val="18"/>
                <w:szCs w:val="18"/>
                <w:color w:val="auto"/>
              </w:rPr>
              <w:t>instruments and hedging</w:t>
            </w:r>
          </w:p>
        </w:tc>
        <w:tc>
          <w:tcPr>
            <w:tcW w:w="1400" w:type="dxa"/>
            <w:vAlign w:val="bottom"/>
            <w:gridSpan w:val="3"/>
          </w:tcPr>
          <w:p>
            <w:pPr>
              <w:jc w:val="right"/>
              <w:ind w:right="40"/>
              <w:spacing w:after="0"/>
              <w:rPr>
                <w:sz w:val="20"/>
                <w:szCs w:val="20"/>
                <w:color w:val="auto"/>
              </w:rPr>
            </w:pPr>
            <w:r>
              <w:rPr>
                <w:rFonts w:ascii="Arial" w:cs="Arial" w:eastAsia="Arial" w:hAnsi="Arial"/>
                <w:sz w:val="18"/>
                <w:szCs w:val="18"/>
                <w:color w:val="auto"/>
              </w:rPr>
              <w:t>(14,711)</w:t>
            </w:r>
          </w:p>
        </w:tc>
        <w:tc>
          <w:tcPr>
            <w:tcW w:w="1340" w:type="dxa"/>
            <w:vAlign w:val="bottom"/>
            <w:gridSpan w:val="2"/>
          </w:tcPr>
          <w:p>
            <w:pPr>
              <w:jc w:val="right"/>
              <w:ind w:right="100"/>
              <w:spacing w:after="0"/>
              <w:rPr>
                <w:sz w:val="20"/>
                <w:szCs w:val="20"/>
                <w:color w:val="auto"/>
              </w:rPr>
            </w:pPr>
            <w:r>
              <w:rPr>
                <w:rFonts w:ascii="Arial" w:cs="Arial" w:eastAsia="Arial" w:hAnsi="Arial"/>
                <w:sz w:val="18"/>
                <w:szCs w:val="18"/>
                <w:color w:val="auto"/>
              </w:rPr>
              <w:t>16,701</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1,990</w:t>
            </w:r>
          </w:p>
        </w:tc>
        <w:tc>
          <w:tcPr>
            <w:tcW w:w="2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4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(6,152</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(3,740</w:t>
            </w:r>
          </w:p>
        </w:tc>
        <w:tc>
          <w:tcPr>
            <w:tcW w:w="180" w:type="dxa"/>
            <w:vAlign w:val="bottom"/>
            <w:tcBorders>
              <w:top w:val="single" w:sz="8" w:color="CCEEFF"/>
              <w:bottom w:val="single" w:sz="8" w:color="CCEEFF"/>
            </w:tcBorders>
            <w:shd w:val="clear" w:color="auto" w:fill="CCEEFF"/>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(9,892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480" w:type="dxa"/>
            <w:vAlign w:val="bottom"/>
          </w:tcPr>
          <w:p>
            <w:pPr>
              <w:spacing w:after="0" w:line="20" w:lineRule="exact"/>
              <w:rPr>
                <w:sz w:val="1"/>
                <w:szCs w:val="1"/>
                <w:color w:val="auto"/>
              </w:rPr>
            </w:pPr>
          </w:p>
        </w:tc>
        <w:tc>
          <w:tcPr>
            <w:tcW w:w="2240" w:type="dxa"/>
            <w:vAlign w:val="bottom"/>
            <w:vMerge w:val="restart"/>
          </w:tcPr>
          <w:p>
            <w:pPr>
              <w:ind w:left="680"/>
              <w:spacing w:after="0"/>
              <w:rPr>
                <w:sz w:val="20"/>
                <w:szCs w:val="20"/>
                <w:color w:val="auto"/>
              </w:rPr>
            </w:pPr>
            <w:r>
              <w:rPr>
                <w:rFonts w:ascii="Arial" w:cs="Arial" w:eastAsia="Arial" w:hAnsi="Arial"/>
                <w:sz w:val="18"/>
                <w:szCs w:val="18"/>
                <w:color w:val="auto"/>
              </w:rPr>
              <w:t>35</w:t>
            </w:r>
          </w:p>
        </w:tc>
        <w:tc>
          <w:tcPr>
            <w:tcW w:w="1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7" w:name="page38"/>
    <w:bookmarkEnd w:id="3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4.8   Derivative financial instruments for hedging purposes (continued)</w:t>
      </w:r>
    </w:p>
    <w:p>
      <w:pPr>
        <w:spacing w:after="0" w:line="229" w:lineRule="exact"/>
        <w:rPr>
          <w:rFonts w:ascii="Arial" w:cs="Arial" w:eastAsia="Arial" w:hAnsi="Arial"/>
          <w:sz w:val="18"/>
          <w:szCs w:val="18"/>
          <w:b w:val="1"/>
          <w:bCs w:val="1"/>
          <w:color w:val="auto"/>
        </w:rPr>
      </w:pPr>
    </w:p>
    <w:p>
      <w:pPr>
        <w:jc w:val="both"/>
        <w:ind w:left="5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foreign currency risk. All such positions are hedged with an offsetting contract for the same currency.</w:t>
      </w:r>
    </w:p>
    <w:p>
      <w:pPr>
        <w:spacing w:after="0" w:line="171"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manages and controls the risks on these foreign exchange trades by establishing counterparty credit limits by customer and by adopting policies that do not allow for open positions in the credit and investment portfolio.</w:t>
      </w:r>
    </w:p>
    <w:p>
      <w:pPr>
        <w:spacing w:after="0" w:line="170"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 These contracts are executed between two counterparties that negotiate specific agreement terms, including notional amount, exercise price and maturity.</w:t>
      </w:r>
    </w:p>
    <w:p>
      <w:pPr>
        <w:spacing w:after="0" w:line="186"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maximum length of time over which the Bank has hedged its exposure to the variability in future cash flows on forecasted transactions is 7.44 years.</w:t>
      </w:r>
    </w:p>
    <w:p>
      <w:pPr>
        <w:spacing w:after="0" w:line="170"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during remaining of 2016, approximately $1,052 reported as losses in OCI as of September 30, 2016 related to foreign exchange forward contracts, are expected to be reclassified into interest income as an adjustment to yield of hedged loans during the twelve-month period ending September 30, 2017.</w:t>
      </w:r>
    </w:p>
    <w:p>
      <w:pPr>
        <w:spacing w:after="0" w:line="181"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during remaining of 2016, approximately $465 reported as losses in OCI as of September 30, 2016 related to foreign exchange forward contracts, are expected to be reclassified into interest income as an adjustment to yield of hedged deposits during the twelve-month period ending September 30, 2017.</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5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In addition to hedging derivative financial instruments, the Bank has derivative financial instruments at FVTPL as disclosed in Note 4.1.</w:t>
      </w:r>
    </w:p>
    <w:p>
      <w:pPr>
        <w:spacing w:after="0" w:line="200" w:lineRule="exact"/>
        <w:rPr>
          <w:sz w:val="20"/>
          <w:szCs w:val="20"/>
          <w:color w:val="auto"/>
        </w:rPr>
      </w:pPr>
    </w:p>
    <w:p>
      <w:pPr>
        <w:spacing w:after="0" w:line="24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8" w:name="page39"/>
    <w:bookmarkEnd w:id="38"/>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w:t>
      </w:r>
    </w:p>
    <w:p>
      <w:pPr>
        <w:spacing w:after="0" w:line="229"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International Swaps and Derivatives Association master agreement (“ISDA”) and similar master netting arrangements do not meet the criteria for offsetting in the consolidated statement of financial position. This is because they create for the parties to the agreement, a right of set-off of recognized amounts that is enforceable only following an event of default, insolvency or bankruptcy of the Bank or the counterparties or following other predetermined events.</w:t>
      </w:r>
    </w:p>
    <w:p>
      <w:pPr>
        <w:spacing w:after="0" w:line="186"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tables summarize financial assets and liabilities that have been offset in the consolidated statement of financial position or are subject to master netting agreements:</w:t>
      </w:r>
    </w:p>
    <w:p>
      <w:pPr>
        <w:spacing w:after="0" w:line="170" w:lineRule="exact"/>
        <w:rPr>
          <w:rFonts w:ascii="Arial" w:cs="Arial" w:eastAsia="Arial" w:hAnsi="Arial"/>
          <w:sz w:val="18"/>
          <w:szCs w:val="18"/>
          <w:b w:val="1"/>
          <w:bCs w:val="1"/>
          <w:color w:val="auto"/>
        </w:rPr>
      </w:pPr>
    </w:p>
    <w:p>
      <w:pPr>
        <w:ind w:left="980" w:hanging="486"/>
        <w:spacing w:after="0"/>
        <w:tabs>
          <w:tab w:leader="none" w:pos="980" w:val="left"/>
        </w:tabs>
        <w:numPr>
          <w:ilvl w:val="1"/>
          <w:numId w:val="3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3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28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0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60" w:type="dxa"/>
            <w:vAlign w:val="bottom"/>
            <w:tcBorders>
              <w:top w:val="single" w:sz="8" w:color="auto"/>
            </w:tcBorders>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20" w:type="dxa"/>
            <w:vAlign w:val="bottom"/>
            <w:tcBorders>
              <w:top w:val="single" w:sz="8" w:color="auto"/>
            </w:tcBorders>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3520" w:type="dxa"/>
            <w:vAlign w:val="bottom"/>
            <w:tcBorders>
              <w:top w:val="single" w:sz="8" w:color="auto"/>
            </w:tcBorders>
            <w:gridSpan w:val="6"/>
          </w:tcPr>
          <w:p>
            <w:pPr>
              <w:jc w:val="center"/>
              <w:spacing w:after="0" w:line="191" w:lineRule="exact"/>
              <w:rPr>
                <w:sz w:val="20"/>
                <w:szCs w:val="20"/>
                <w:color w:val="auto"/>
              </w:rPr>
            </w:pPr>
            <w:r>
              <w:rPr>
                <w:rFonts w:ascii="Arial" w:cs="Arial" w:eastAsia="Arial" w:hAnsi="Arial"/>
                <w:sz w:val="18"/>
                <w:szCs w:val="18"/>
                <w:b w:val="1"/>
                <w:bCs w:val="1"/>
                <w:color w:val="auto"/>
                <w:w w:val="88"/>
              </w:rPr>
              <w:t>Gross amounts not offset in the</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offset in the</w:t>
            </w:r>
          </w:p>
        </w:tc>
        <w:tc>
          <w:tcPr>
            <w:tcW w:w="15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assets presented</w:t>
            </w:r>
          </w:p>
        </w:tc>
        <w:tc>
          <w:tcPr>
            <w:tcW w:w="2660" w:type="dxa"/>
            <w:vAlign w:val="bottom"/>
            <w:gridSpan w:val="5"/>
          </w:tcPr>
          <w:p>
            <w:pPr>
              <w:jc w:val="center"/>
              <w:ind w:left="770"/>
              <w:spacing w:after="0"/>
              <w:rPr>
                <w:sz w:val="20"/>
                <w:szCs w:val="20"/>
                <w:color w:val="auto"/>
              </w:rPr>
            </w:pPr>
            <w:r>
              <w:rPr>
                <w:rFonts w:ascii="Arial" w:cs="Arial" w:eastAsia="Arial" w:hAnsi="Arial"/>
                <w:sz w:val="18"/>
                <w:szCs w:val="18"/>
                <w:b w:val="1"/>
                <w:bCs w:val="1"/>
                <w:color w:val="auto"/>
                <w:w w:val="87"/>
              </w:rPr>
              <w:t>consolidated statement</w:t>
            </w: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28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consolidated</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1"/>
              </w:rPr>
              <w:t>in the</w:t>
            </w:r>
          </w:p>
        </w:tc>
        <w:tc>
          <w:tcPr>
            <w:tcW w:w="2660" w:type="dxa"/>
            <w:vAlign w:val="bottom"/>
            <w:tcBorders>
              <w:bottom w:val="single" w:sz="8" w:color="auto"/>
            </w:tcBorders>
            <w:gridSpan w:val="5"/>
          </w:tcPr>
          <w:p>
            <w:pPr>
              <w:jc w:val="center"/>
              <w:ind w:left="770"/>
              <w:spacing w:after="0"/>
              <w:rPr>
                <w:sz w:val="20"/>
                <w:szCs w:val="20"/>
                <w:color w:val="auto"/>
              </w:rPr>
            </w:pPr>
            <w:r>
              <w:rPr>
                <w:rFonts w:ascii="Arial" w:cs="Arial" w:eastAsia="Arial" w:hAnsi="Arial"/>
                <w:sz w:val="18"/>
                <w:szCs w:val="18"/>
                <w:b w:val="1"/>
                <w:bCs w:val="1"/>
                <w:color w:val="auto"/>
                <w:w w:val="89"/>
              </w:rPr>
              <w:t>of financial position</w:t>
            </w:r>
          </w:p>
        </w:tc>
        <w:tc>
          <w:tcPr>
            <w:tcW w:w="860" w:type="dxa"/>
            <w:vAlign w:val="bottom"/>
            <w:tcBorders>
              <w:bottom w:val="single" w:sz="8" w:color="auto"/>
            </w:tcBorders>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91"/>
        </w:trPr>
        <w:tc>
          <w:tcPr>
            <w:tcW w:w="500" w:type="dxa"/>
            <w:vAlign w:val="bottom"/>
          </w:tcPr>
          <w:p>
            <w:pPr>
              <w:spacing w:after="0"/>
              <w:rPr>
                <w:sz w:val="16"/>
                <w:szCs w:val="16"/>
                <w:color w:val="auto"/>
              </w:rPr>
            </w:pPr>
          </w:p>
        </w:tc>
        <w:tc>
          <w:tcPr>
            <w:tcW w:w="2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4"/>
              </w:rPr>
              <w:t>Gross</w:t>
            </w:r>
          </w:p>
        </w:tc>
        <w:tc>
          <w:tcPr>
            <w:tcW w:w="80" w:type="dxa"/>
            <w:vAlign w:val="bottom"/>
          </w:tcPr>
          <w:p>
            <w:pPr>
              <w:spacing w:after="0"/>
              <w:rPr>
                <w:sz w:val="16"/>
                <w:szCs w:val="16"/>
                <w:color w:val="auto"/>
              </w:rPr>
            </w:pPr>
          </w:p>
        </w:tc>
        <w:tc>
          <w:tcPr>
            <w:tcW w:w="138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5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20" w:type="dxa"/>
            <w:vAlign w:val="bottom"/>
            <w:gridSpan w:val="3"/>
          </w:tcPr>
          <w:p>
            <w:pPr>
              <w:jc w:val="center"/>
              <w:ind w:right="360"/>
              <w:spacing w:after="0" w:line="191" w:lineRule="exact"/>
              <w:rPr>
                <w:sz w:val="20"/>
                <w:szCs w:val="20"/>
                <w:color w:val="auto"/>
              </w:rPr>
            </w:pPr>
            <w:r>
              <w:rPr>
                <w:rFonts w:ascii="Arial" w:cs="Arial" w:eastAsia="Arial" w:hAnsi="Arial"/>
                <w:sz w:val="18"/>
                <w:szCs w:val="18"/>
                <w:b w:val="1"/>
                <w:bCs w:val="1"/>
                <w:color w:val="auto"/>
                <w:w w:val="86"/>
              </w:rPr>
              <w:t>Cash</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amounts</w:t>
            </w:r>
          </w:p>
        </w:tc>
        <w:tc>
          <w:tcPr>
            <w:tcW w:w="80" w:type="dxa"/>
            <w:vAlign w:val="bottom"/>
          </w:tcPr>
          <w:p>
            <w:pPr>
              <w:spacing w:after="0"/>
              <w:rPr>
                <w:sz w:val="18"/>
                <w:szCs w:val="18"/>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financial</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1"/>
              </w:rPr>
              <w:t>collateral</w:t>
            </w:r>
          </w:p>
        </w:tc>
        <w:tc>
          <w:tcPr>
            <w:tcW w:w="9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298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80" w:type="dxa"/>
            <w:vAlign w:val="bottom"/>
          </w:tcPr>
          <w:p>
            <w:pPr>
              <w:spacing w:after="0"/>
              <w:rPr>
                <w:sz w:val="20"/>
                <w:szCs w:val="20"/>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position</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financial position</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7"/>
              </w:rPr>
              <w:t>received</w:t>
            </w:r>
          </w:p>
        </w:tc>
        <w:tc>
          <w:tcPr>
            <w:tcW w:w="9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28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 instruments-</w:t>
            </w:r>
          </w:p>
        </w:tc>
        <w:tc>
          <w:tcPr>
            <w:tcW w:w="100" w:type="dxa"/>
            <w:vAlign w:val="bottom"/>
            <w:tcBorders>
              <w:top w:val="single" w:sz="8" w:color="CCEEFF"/>
            </w:tcBorders>
            <w:shd w:val="clear" w:color="auto" w:fill="CCEEFF"/>
          </w:tcPr>
          <w:p>
            <w:pPr>
              <w:spacing w:after="0"/>
              <w:rPr>
                <w:sz w:val="16"/>
                <w:szCs w:val="16"/>
                <w:color w:val="auto"/>
              </w:rPr>
            </w:pPr>
          </w:p>
        </w:tc>
        <w:tc>
          <w:tcPr>
            <w:tcW w:w="10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298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27,369</w:t>
            </w:r>
          </w:p>
        </w:tc>
        <w:tc>
          <w:tcPr>
            <w:tcW w:w="146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27,369</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27,369</w:t>
            </w:r>
          </w:p>
        </w:tc>
        <w:tc>
          <w:tcPr>
            <w:tcW w:w="200" w:type="dxa"/>
            <w:vAlign w:val="bottom"/>
          </w:tcPr>
          <w:p>
            <w:pPr>
              <w:spacing w:after="0"/>
              <w:rPr>
                <w:sz w:val="20"/>
                <w:szCs w:val="20"/>
                <w:color w:val="auto"/>
              </w:rPr>
            </w:pPr>
          </w:p>
        </w:tc>
      </w:tr>
      <w:tr>
        <w:trPr>
          <w:trHeight w:val="230"/>
        </w:trPr>
        <w:tc>
          <w:tcPr>
            <w:tcW w:w="500" w:type="dxa"/>
            <w:vAlign w:val="bottom"/>
          </w:tcPr>
          <w:p>
            <w:pPr>
              <w:spacing w:after="0"/>
              <w:rPr>
                <w:sz w:val="19"/>
                <w:szCs w:val="19"/>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Financial instruments at FVTPL</w:t>
            </w:r>
          </w:p>
        </w:tc>
        <w:tc>
          <w:tcPr>
            <w:tcW w:w="1140" w:type="dxa"/>
            <w:vAlign w:val="bottom"/>
            <w:gridSpan w:val="2"/>
          </w:tcPr>
          <w:p>
            <w:pPr>
              <w:jc w:val="right"/>
              <w:ind w:right="100"/>
              <w:spacing w:after="0"/>
              <w:rPr>
                <w:sz w:val="20"/>
                <w:szCs w:val="20"/>
                <w:color w:val="auto"/>
              </w:rPr>
            </w:pPr>
            <w:r>
              <w:rPr>
                <w:rFonts w:ascii="Arial" w:cs="Arial" w:eastAsia="Arial" w:hAnsi="Arial"/>
                <w:sz w:val="18"/>
                <w:szCs w:val="18"/>
                <w:color w:val="auto"/>
              </w:rPr>
              <w:t>28</w:t>
            </w:r>
          </w:p>
        </w:tc>
        <w:tc>
          <w:tcPr>
            <w:tcW w:w="146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28</w:t>
            </w:r>
          </w:p>
        </w:tc>
        <w:tc>
          <w:tcPr>
            <w:tcW w:w="12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29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27,397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4"/>
          </w:tcPr>
          <w:p>
            <w:pPr>
              <w:jc w:val="right"/>
              <w:ind w:right="1060"/>
              <w:spacing w:after="0"/>
              <w:rPr>
                <w:sz w:val="20"/>
                <w:szCs w:val="20"/>
                <w:color w:val="auto"/>
              </w:rPr>
            </w:pPr>
            <w:r>
              <w:rPr>
                <w:rFonts w:ascii="Arial" w:cs="Arial" w:eastAsia="Arial" w:hAnsi="Arial"/>
                <w:sz w:val="18"/>
                <w:szCs w:val="18"/>
                <w:b w:val="1"/>
                <w:bCs w:val="1"/>
                <w:color w:val="auto"/>
              </w:rPr>
              <w:t>December 31, 2015</w:t>
            </w: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191"/>
        </w:trPr>
        <w:tc>
          <w:tcPr>
            <w:tcW w:w="500" w:type="dxa"/>
            <w:vAlign w:val="bottom"/>
          </w:tcPr>
          <w:p>
            <w:pPr>
              <w:spacing w:after="0"/>
              <w:rPr>
                <w:sz w:val="16"/>
                <w:szCs w:val="16"/>
                <w:color w:val="auto"/>
              </w:rPr>
            </w:pPr>
          </w:p>
        </w:tc>
        <w:tc>
          <w:tcPr>
            <w:tcW w:w="2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60" w:type="dxa"/>
            <w:vAlign w:val="bottom"/>
            <w:gridSpan w:val="3"/>
          </w:tcPr>
          <w:p>
            <w:pPr>
              <w:jc w:val="center"/>
              <w:ind w:right="14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2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3520" w:type="dxa"/>
            <w:vAlign w:val="bottom"/>
            <w:gridSpan w:val="6"/>
          </w:tcPr>
          <w:p>
            <w:pPr>
              <w:jc w:val="center"/>
              <w:spacing w:after="0" w:line="191" w:lineRule="exact"/>
              <w:rPr>
                <w:sz w:val="20"/>
                <w:szCs w:val="20"/>
                <w:color w:val="auto"/>
              </w:rPr>
            </w:pPr>
            <w:r>
              <w:rPr>
                <w:rFonts w:ascii="Arial" w:cs="Arial" w:eastAsia="Arial" w:hAnsi="Arial"/>
                <w:sz w:val="18"/>
                <w:szCs w:val="18"/>
                <w:b w:val="1"/>
                <w:bCs w:val="1"/>
                <w:color w:val="auto"/>
                <w:w w:val="88"/>
              </w:rPr>
              <w:t>Gross amounts not offset in</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8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offset in the</w:t>
            </w:r>
          </w:p>
        </w:tc>
        <w:tc>
          <w:tcPr>
            <w:tcW w:w="15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4"/>
              </w:rPr>
              <w:t>assets presented</w:t>
            </w:r>
          </w:p>
        </w:tc>
        <w:tc>
          <w:tcPr>
            <w:tcW w:w="3620" w:type="dxa"/>
            <w:vAlign w:val="bottom"/>
            <w:gridSpan w:val="7"/>
          </w:tcPr>
          <w:p>
            <w:pPr>
              <w:jc w:val="center"/>
              <w:ind w:right="100"/>
              <w:spacing w:after="0"/>
              <w:rPr>
                <w:sz w:val="20"/>
                <w:szCs w:val="20"/>
                <w:color w:val="auto"/>
              </w:rPr>
            </w:pPr>
            <w:r>
              <w:rPr>
                <w:rFonts w:ascii="Arial" w:cs="Arial" w:eastAsia="Arial" w:hAnsi="Arial"/>
                <w:sz w:val="18"/>
                <w:szCs w:val="18"/>
                <w:b w:val="1"/>
                <w:bCs w:val="1"/>
                <w:color w:val="auto"/>
                <w:w w:val="87"/>
              </w:rPr>
              <w:t>the consolidated statement</w:t>
            </w: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28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04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consolidated</w:t>
            </w:r>
          </w:p>
        </w:tc>
        <w:tc>
          <w:tcPr>
            <w:tcW w:w="152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7"/>
              </w:rPr>
              <w:t>in the</w:t>
            </w:r>
          </w:p>
        </w:tc>
        <w:tc>
          <w:tcPr>
            <w:tcW w:w="2660" w:type="dxa"/>
            <w:vAlign w:val="bottom"/>
            <w:tcBorders>
              <w:bottom w:val="single" w:sz="8" w:color="auto"/>
            </w:tcBorders>
            <w:gridSpan w:val="5"/>
          </w:tcPr>
          <w:p>
            <w:pPr>
              <w:jc w:val="center"/>
              <w:ind w:left="770"/>
              <w:spacing w:after="0"/>
              <w:rPr>
                <w:sz w:val="20"/>
                <w:szCs w:val="20"/>
                <w:color w:val="auto"/>
              </w:rPr>
            </w:pPr>
            <w:r>
              <w:rPr>
                <w:rFonts w:ascii="Arial" w:cs="Arial" w:eastAsia="Arial" w:hAnsi="Arial"/>
                <w:sz w:val="18"/>
                <w:szCs w:val="18"/>
                <w:b w:val="1"/>
                <w:bCs w:val="1"/>
                <w:color w:val="auto"/>
                <w:w w:val="89"/>
              </w:rPr>
              <w:t>of financial position</w:t>
            </w:r>
          </w:p>
        </w:tc>
        <w:tc>
          <w:tcPr>
            <w:tcW w:w="860" w:type="dxa"/>
            <w:vAlign w:val="bottom"/>
            <w:tcBorders>
              <w:bottom w:val="single" w:sz="8" w:color="auto"/>
            </w:tcBorders>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91"/>
        </w:trPr>
        <w:tc>
          <w:tcPr>
            <w:tcW w:w="500" w:type="dxa"/>
            <w:vAlign w:val="bottom"/>
          </w:tcPr>
          <w:p>
            <w:pPr>
              <w:spacing w:after="0"/>
              <w:rPr>
                <w:sz w:val="16"/>
                <w:szCs w:val="16"/>
                <w:color w:val="auto"/>
              </w:rPr>
            </w:pPr>
          </w:p>
        </w:tc>
        <w:tc>
          <w:tcPr>
            <w:tcW w:w="28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40" w:type="dxa"/>
            <w:vAlign w:val="bottom"/>
            <w:gridSpan w:val="2"/>
          </w:tcPr>
          <w:p>
            <w:pPr>
              <w:jc w:val="center"/>
              <w:ind w:right="100"/>
              <w:spacing w:after="0" w:line="191" w:lineRule="exact"/>
              <w:rPr>
                <w:sz w:val="20"/>
                <w:szCs w:val="20"/>
                <w:color w:val="auto"/>
              </w:rPr>
            </w:pPr>
            <w:r>
              <w:rPr>
                <w:rFonts w:ascii="Arial" w:cs="Arial" w:eastAsia="Arial" w:hAnsi="Arial"/>
                <w:sz w:val="18"/>
                <w:szCs w:val="18"/>
                <w:b w:val="1"/>
                <w:bCs w:val="1"/>
                <w:color w:val="auto"/>
                <w:w w:val="84"/>
              </w:rPr>
              <w:t>Gross</w:t>
            </w:r>
          </w:p>
        </w:tc>
        <w:tc>
          <w:tcPr>
            <w:tcW w:w="80" w:type="dxa"/>
            <w:vAlign w:val="bottom"/>
          </w:tcPr>
          <w:p>
            <w:pPr>
              <w:spacing w:after="0"/>
              <w:rPr>
                <w:sz w:val="16"/>
                <w:szCs w:val="16"/>
                <w:color w:val="auto"/>
              </w:rPr>
            </w:pPr>
          </w:p>
        </w:tc>
        <w:tc>
          <w:tcPr>
            <w:tcW w:w="138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9"/>
              </w:rPr>
              <w:t>statement of</w:t>
            </w:r>
          </w:p>
        </w:tc>
        <w:tc>
          <w:tcPr>
            <w:tcW w:w="15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6"/>
              </w:rPr>
              <w:t>consolidated</w:t>
            </w:r>
          </w:p>
        </w:tc>
        <w:tc>
          <w:tcPr>
            <w:tcW w:w="10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20" w:type="dxa"/>
            <w:vAlign w:val="bottom"/>
            <w:gridSpan w:val="3"/>
          </w:tcPr>
          <w:p>
            <w:pPr>
              <w:jc w:val="center"/>
              <w:ind w:right="360"/>
              <w:spacing w:after="0" w:line="191" w:lineRule="exact"/>
              <w:rPr>
                <w:sz w:val="20"/>
                <w:szCs w:val="20"/>
                <w:color w:val="auto"/>
              </w:rPr>
            </w:pPr>
            <w:r>
              <w:rPr>
                <w:rFonts w:ascii="Arial" w:cs="Arial" w:eastAsia="Arial" w:hAnsi="Arial"/>
                <w:sz w:val="18"/>
                <w:szCs w:val="18"/>
                <w:b w:val="1"/>
                <w:bCs w:val="1"/>
                <w:color w:val="auto"/>
                <w:w w:val="86"/>
              </w:rPr>
              <w:t>Cash</w:t>
            </w:r>
          </w:p>
        </w:tc>
        <w:tc>
          <w:tcPr>
            <w:tcW w:w="8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28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amounts</w:t>
            </w:r>
          </w:p>
        </w:tc>
        <w:tc>
          <w:tcPr>
            <w:tcW w:w="80" w:type="dxa"/>
            <w:vAlign w:val="bottom"/>
          </w:tcPr>
          <w:p>
            <w:pPr>
              <w:spacing w:after="0"/>
              <w:rPr>
                <w:sz w:val="18"/>
                <w:szCs w:val="18"/>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3"/>
              </w:rPr>
              <w:t>financial</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91"/>
              </w:rPr>
              <w:t>collateral</w:t>
            </w:r>
          </w:p>
        </w:tc>
        <w:tc>
          <w:tcPr>
            <w:tcW w:w="9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2980" w:type="dxa"/>
            <w:vAlign w:val="bottom"/>
            <w:gridSpan w:val="2"/>
          </w:tcPr>
          <w:p>
            <w:pPr>
              <w:ind w:left="1000"/>
              <w:spacing w:after="0"/>
              <w:rPr>
                <w:sz w:val="20"/>
                <w:szCs w:val="20"/>
                <w:color w:val="auto"/>
              </w:rPr>
            </w:pPr>
            <w:r>
              <w:rPr>
                <w:rFonts w:ascii="Arial" w:cs="Arial" w:eastAsia="Arial" w:hAnsi="Arial"/>
                <w:sz w:val="18"/>
                <w:szCs w:val="18"/>
                <w:b w:val="1"/>
                <w:bCs w:val="1"/>
                <w:color w:val="auto"/>
              </w:rPr>
              <w:t>Description</w:t>
            </w:r>
          </w:p>
        </w:tc>
        <w:tc>
          <w:tcPr>
            <w:tcW w:w="11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78"/>
              </w:rPr>
              <w:t>assets</w:t>
            </w:r>
          </w:p>
        </w:tc>
        <w:tc>
          <w:tcPr>
            <w:tcW w:w="80" w:type="dxa"/>
            <w:vAlign w:val="bottom"/>
          </w:tcPr>
          <w:p>
            <w:pPr>
              <w:spacing w:after="0"/>
              <w:rPr>
                <w:sz w:val="20"/>
                <w:szCs w:val="20"/>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5"/>
              </w:rPr>
              <w:t>position</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0"/>
              </w:rPr>
              <w:t>financial position</w:t>
            </w:r>
          </w:p>
        </w:tc>
        <w:tc>
          <w:tcPr>
            <w:tcW w:w="12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3"/>
          </w:tcPr>
          <w:p>
            <w:pPr>
              <w:jc w:val="center"/>
              <w:ind w:right="380"/>
              <w:spacing w:after="0"/>
              <w:rPr>
                <w:sz w:val="20"/>
                <w:szCs w:val="20"/>
                <w:color w:val="auto"/>
              </w:rPr>
            </w:pPr>
            <w:r>
              <w:rPr>
                <w:rFonts w:ascii="Arial" w:cs="Arial" w:eastAsia="Arial" w:hAnsi="Arial"/>
                <w:sz w:val="18"/>
                <w:szCs w:val="18"/>
                <w:b w:val="1"/>
                <w:bCs w:val="1"/>
                <w:color w:val="auto"/>
                <w:w w:val="87"/>
              </w:rPr>
              <w:t>received</w:t>
            </w:r>
          </w:p>
        </w:tc>
        <w:tc>
          <w:tcPr>
            <w:tcW w:w="96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28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 instruments-</w:t>
            </w:r>
          </w:p>
        </w:tc>
        <w:tc>
          <w:tcPr>
            <w:tcW w:w="100" w:type="dxa"/>
            <w:vAlign w:val="bottom"/>
            <w:tcBorders>
              <w:top w:val="single" w:sz="8" w:color="CCEEFF"/>
            </w:tcBorders>
            <w:shd w:val="clear" w:color="auto" w:fill="CCEEFF"/>
          </w:tcPr>
          <w:p>
            <w:pPr>
              <w:spacing w:after="0"/>
              <w:rPr>
                <w:sz w:val="16"/>
                <w:szCs w:val="16"/>
                <w:color w:val="auto"/>
              </w:rPr>
            </w:pPr>
          </w:p>
        </w:tc>
        <w:tc>
          <w:tcPr>
            <w:tcW w:w="10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8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44"/>
        </w:trPr>
        <w:tc>
          <w:tcPr>
            <w:tcW w:w="500" w:type="dxa"/>
            <w:vAlign w:val="bottom"/>
          </w:tcPr>
          <w:p>
            <w:pPr>
              <w:spacing w:after="0"/>
              <w:rPr>
                <w:sz w:val="21"/>
                <w:szCs w:val="21"/>
                <w:color w:val="auto"/>
              </w:rPr>
            </w:pPr>
          </w:p>
        </w:tc>
        <w:tc>
          <w:tcPr>
            <w:tcW w:w="298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7,400</w:t>
            </w:r>
          </w:p>
        </w:tc>
        <w:tc>
          <w:tcPr>
            <w:tcW w:w="146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7,400</w:t>
            </w:r>
          </w:p>
        </w:tc>
        <w:tc>
          <w:tcPr>
            <w:tcW w:w="12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(690)</w:t>
            </w:r>
          </w:p>
        </w:tc>
        <w:tc>
          <w:tcPr>
            <w:tcW w:w="18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6,710</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298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0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(690</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80" w:type="dxa"/>
            <w:vAlign w:val="bottom"/>
            <w:tcBorders>
              <w:top w:val="single" w:sz="8" w:color="auto"/>
              <w:bottom w:val="single" w:sz="8" w:color="auto"/>
            </w:tcBorders>
          </w:tcPr>
          <w:p>
            <w:pPr>
              <w:spacing w:after="0"/>
              <w:rPr>
                <w:sz w:val="19"/>
                <w:szCs w:val="19"/>
                <w:color w:val="auto"/>
              </w:rPr>
            </w:pP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6,710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2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37</w:t>
            </w:r>
          </w:p>
        </w:tc>
        <w:tc>
          <w:tcPr>
            <w:tcW w:w="18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8"/>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statement of financial position as of September 30, 2016 and December 31, 2015:</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4320" w:type="dxa"/>
            <w:vAlign w:val="bottom"/>
          </w:tcPr>
          <w:p>
            <w:pPr>
              <w:spacing w:after="0"/>
              <w:rPr>
                <w:sz w:val="20"/>
                <w:szCs w:val="20"/>
                <w:color w:val="auto"/>
              </w:rPr>
            </w:pPr>
          </w:p>
        </w:tc>
        <w:tc>
          <w:tcPr>
            <w:tcW w:w="1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200" w:type="dxa"/>
            <w:vAlign w:val="bottom"/>
            <w:gridSpan w:val="4"/>
          </w:tcPr>
          <w:p>
            <w:pPr>
              <w:jc w:val="center"/>
              <w:ind w:right="1460"/>
              <w:spacing w:after="0"/>
              <w:rPr>
                <w:sz w:val="20"/>
                <w:szCs w:val="20"/>
                <w:color w:val="auto"/>
              </w:rPr>
            </w:pPr>
            <w:r>
              <w:rPr>
                <w:rFonts w:ascii="Arial" w:cs="Arial" w:eastAsia="Arial" w:hAnsi="Arial"/>
                <w:sz w:val="18"/>
                <w:szCs w:val="18"/>
                <w:b w:val="1"/>
                <w:bCs w:val="1"/>
                <w:color w:val="auto"/>
                <w:w w:val="89"/>
              </w:rPr>
              <w:t>September 30, 2016</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320" w:type="dxa"/>
            <w:vAlign w:val="bottom"/>
          </w:tcPr>
          <w:p>
            <w:pPr>
              <w:spacing w:after="0"/>
              <w:rPr>
                <w:sz w:val="16"/>
                <w:szCs w:val="16"/>
                <w:color w:val="auto"/>
              </w:rPr>
            </w:pPr>
          </w:p>
        </w:tc>
        <w:tc>
          <w:tcPr>
            <w:tcW w:w="17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5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Gross amounts</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320" w:type="dxa"/>
            <w:vAlign w:val="bottom"/>
          </w:tcPr>
          <w:p>
            <w:pPr>
              <w:ind w:left="2580"/>
              <w:spacing w:after="0"/>
              <w:rPr>
                <w:sz w:val="20"/>
                <w:szCs w:val="20"/>
                <w:color w:val="auto"/>
              </w:rPr>
            </w:pPr>
            <w:r>
              <w:rPr>
                <w:rFonts w:ascii="Arial" w:cs="Arial" w:eastAsia="Arial" w:hAnsi="Arial"/>
                <w:sz w:val="18"/>
                <w:szCs w:val="18"/>
                <w:b w:val="1"/>
                <w:bCs w:val="1"/>
                <w:color w:val="auto"/>
              </w:rPr>
              <w:t>Description</w:t>
            </w:r>
          </w:p>
        </w:tc>
        <w:tc>
          <w:tcPr>
            <w:tcW w:w="1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of assets</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43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 hedging</w:t>
            </w:r>
          </w:p>
        </w:tc>
        <w:tc>
          <w:tcPr>
            <w:tcW w:w="176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27,369</w:t>
            </w:r>
          </w:p>
        </w:tc>
        <w:tc>
          <w:tcPr>
            <w:tcW w:w="20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27,369</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320" w:type="dxa"/>
            <w:vAlign w:val="bottom"/>
          </w:tcPr>
          <w:p>
            <w:pPr>
              <w:spacing w:after="0"/>
              <w:rPr>
                <w:sz w:val="20"/>
                <w:szCs w:val="20"/>
                <w:color w:val="auto"/>
              </w:rPr>
            </w:pPr>
            <w:r>
              <w:rPr>
                <w:rFonts w:ascii="Arial" w:cs="Arial" w:eastAsia="Arial" w:hAnsi="Arial"/>
                <w:sz w:val="18"/>
                <w:szCs w:val="18"/>
                <w:color w:val="auto"/>
              </w:rPr>
              <w:t>Financial instruments at FVTPL</w:t>
            </w:r>
          </w:p>
        </w:tc>
        <w:tc>
          <w:tcPr>
            <w:tcW w:w="3200" w:type="dxa"/>
            <w:vAlign w:val="bottom"/>
            <w:gridSpan w:val="4"/>
          </w:tcPr>
          <w:p>
            <w:pPr>
              <w:jc w:val="right"/>
              <w:ind w:right="200"/>
              <w:spacing w:after="0"/>
              <w:rPr>
                <w:sz w:val="20"/>
                <w:szCs w:val="20"/>
                <w:color w:val="auto"/>
              </w:rPr>
            </w:pPr>
            <w:r>
              <w:rPr>
                <w:rFonts w:ascii="Arial" w:cs="Arial" w:eastAsia="Arial" w:hAnsi="Arial"/>
                <w:sz w:val="18"/>
                <w:szCs w:val="18"/>
                <w:color w:val="auto"/>
              </w:rPr>
              <w:t>28</w:t>
            </w: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9"/>
                <w:szCs w:val="19"/>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28</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3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76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27,397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27,397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7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4320" w:type="dxa"/>
            <w:vAlign w:val="bottom"/>
          </w:tcPr>
          <w:p>
            <w:pPr>
              <w:spacing w:after="0"/>
              <w:rPr>
                <w:sz w:val="24"/>
                <w:szCs w:val="24"/>
                <w:color w:val="auto"/>
              </w:rPr>
            </w:pPr>
          </w:p>
        </w:tc>
        <w:tc>
          <w:tcPr>
            <w:tcW w:w="17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3200" w:type="dxa"/>
            <w:vAlign w:val="bottom"/>
            <w:gridSpan w:val="4"/>
          </w:tcPr>
          <w:p>
            <w:pPr>
              <w:jc w:val="center"/>
              <w:ind w:right="1460"/>
              <w:spacing w:after="0"/>
              <w:rPr>
                <w:sz w:val="20"/>
                <w:szCs w:val="20"/>
                <w:color w:val="auto"/>
              </w:rPr>
            </w:pPr>
            <w:r>
              <w:rPr>
                <w:rFonts w:ascii="Arial" w:cs="Arial" w:eastAsia="Arial" w:hAnsi="Arial"/>
                <w:sz w:val="18"/>
                <w:szCs w:val="18"/>
                <w:b w:val="1"/>
                <w:bCs w:val="1"/>
                <w:color w:val="auto"/>
                <w:w w:val="90"/>
              </w:rPr>
              <w:t>December 31, 2015</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500" w:type="dxa"/>
            <w:vAlign w:val="bottom"/>
          </w:tcPr>
          <w:p>
            <w:pPr>
              <w:spacing w:after="0"/>
              <w:rPr>
                <w:sz w:val="16"/>
                <w:szCs w:val="16"/>
                <w:color w:val="auto"/>
              </w:rPr>
            </w:pPr>
          </w:p>
        </w:tc>
        <w:tc>
          <w:tcPr>
            <w:tcW w:w="4320" w:type="dxa"/>
            <w:vAlign w:val="bottom"/>
          </w:tcPr>
          <w:p>
            <w:pPr>
              <w:spacing w:after="0"/>
              <w:rPr>
                <w:sz w:val="16"/>
                <w:szCs w:val="16"/>
                <w:color w:val="auto"/>
              </w:rPr>
            </w:pPr>
          </w:p>
        </w:tc>
        <w:tc>
          <w:tcPr>
            <w:tcW w:w="17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5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5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86"/>
              </w:rPr>
              <w:t>Net amount of assets</w:t>
            </w: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presented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320" w:type="dxa"/>
            <w:vAlign w:val="bottom"/>
          </w:tcPr>
          <w:p>
            <w:pPr>
              <w:spacing w:after="0"/>
              <w:rPr>
                <w:sz w:val="18"/>
                <w:szCs w:val="18"/>
                <w:color w:val="auto"/>
              </w:rPr>
            </w:pPr>
          </w:p>
        </w:tc>
        <w:tc>
          <w:tcPr>
            <w:tcW w:w="1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Gross amounts</w:t>
            </w:r>
          </w:p>
        </w:tc>
        <w:tc>
          <w:tcPr>
            <w:tcW w:w="15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7"/>
              </w:rPr>
              <w:t>statement of</w:t>
            </w: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statement of</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320" w:type="dxa"/>
            <w:vAlign w:val="bottom"/>
          </w:tcPr>
          <w:p>
            <w:pPr>
              <w:ind w:left="2580"/>
              <w:spacing w:after="0"/>
              <w:rPr>
                <w:sz w:val="20"/>
                <w:szCs w:val="20"/>
                <w:color w:val="auto"/>
              </w:rPr>
            </w:pPr>
            <w:r>
              <w:rPr>
                <w:rFonts w:ascii="Arial" w:cs="Arial" w:eastAsia="Arial" w:hAnsi="Arial"/>
                <w:sz w:val="18"/>
                <w:szCs w:val="18"/>
                <w:b w:val="1"/>
                <w:bCs w:val="1"/>
                <w:color w:val="auto"/>
              </w:rPr>
              <w:t>Description</w:t>
            </w:r>
          </w:p>
        </w:tc>
        <w:tc>
          <w:tcPr>
            <w:tcW w:w="1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3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of assets</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6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financial position</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3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Derivative financial instruments - hedging</w:t>
            </w:r>
          </w:p>
        </w:tc>
        <w:tc>
          <w:tcPr>
            <w:tcW w:w="1760" w:type="dxa"/>
            <w:vAlign w:val="bottom"/>
            <w:tcBorders>
              <w:top w:val="single" w:sz="8" w:color="auto"/>
            </w:tcBorders>
            <w:shd w:val="clear" w:color="auto" w:fill="CCEEFF"/>
          </w:tcPr>
          <w:p>
            <w:pPr>
              <w:spacing w:after="0"/>
              <w:rPr>
                <w:sz w:val="19"/>
                <w:szCs w:val="19"/>
                <w:color w:val="auto"/>
              </w:rPr>
            </w:pPr>
          </w:p>
        </w:tc>
        <w:tc>
          <w:tcPr>
            <w:tcW w:w="80" w:type="dxa"/>
            <w:vAlign w:val="bottom"/>
            <w:tcBorders>
              <w:top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00" w:type="dxa"/>
            <w:vAlign w:val="bottom"/>
            <w:tcBorders>
              <w:top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320" w:type="dxa"/>
            <w:vAlign w:val="bottom"/>
          </w:tcPr>
          <w:p>
            <w:pPr>
              <w:spacing w:after="0"/>
              <w:rPr>
                <w:sz w:val="20"/>
                <w:szCs w:val="20"/>
                <w:color w:val="auto"/>
              </w:rPr>
            </w:pPr>
            <w:r>
              <w:rPr>
                <w:rFonts w:ascii="Arial" w:cs="Arial" w:eastAsia="Arial" w:hAnsi="Arial"/>
                <w:sz w:val="18"/>
                <w:szCs w:val="18"/>
                <w:color w:val="auto"/>
              </w:rPr>
              <w:t>Total</w:t>
            </w:r>
          </w:p>
        </w:tc>
        <w:tc>
          <w:tcPr>
            <w:tcW w:w="1840" w:type="dxa"/>
            <w:vAlign w:val="bottom"/>
            <w:gridSpan w:val="2"/>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200" w:type="dxa"/>
            <w:vAlign w:val="bottom"/>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320" w:type="dxa"/>
            <w:vAlign w:val="bottom"/>
          </w:tcPr>
          <w:p>
            <w:pPr>
              <w:spacing w:after="0" w:line="20" w:lineRule="exact"/>
              <w:rPr>
                <w:sz w:val="1"/>
                <w:szCs w:val="1"/>
                <w:color w:val="auto"/>
              </w:rPr>
            </w:pPr>
          </w:p>
        </w:tc>
        <w:tc>
          <w:tcPr>
            <w:tcW w:w="1760" w:type="dxa"/>
            <w:vAlign w:val="bottom"/>
            <w:vMerge w:val="restart"/>
          </w:tcPr>
          <w:p>
            <w:pPr>
              <w:jc w:val="right"/>
              <w:ind w:right="650"/>
              <w:spacing w:after="0"/>
              <w:rPr>
                <w:sz w:val="20"/>
                <w:szCs w:val="20"/>
                <w:color w:val="auto"/>
              </w:rPr>
            </w:pPr>
            <w:r>
              <w:rPr>
                <w:rFonts w:ascii="Arial" w:cs="Arial" w:eastAsia="Arial" w:hAnsi="Arial"/>
                <w:sz w:val="18"/>
                <w:szCs w:val="18"/>
                <w:color w:val="auto"/>
              </w:rPr>
              <w:t>38</w:t>
            </w:r>
          </w:p>
        </w:tc>
        <w:tc>
          <w:tcPr>
            <w:tcW w:w="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4320" w:type="dxa"/>
            <w:vAlign w:val="bottom"/>
            <w:tcBorders>
              <w:bottom w:val="single" w:sz="8" w:color="auto"/>
            </w:tcBorders>
          </w:tcPr>
          <w:p>
            <w:pPr>
              <w:spacing w:after="0"/>
              <w:rPr>
                <w:sz w:val="24"/>
                <w:szCs w:val="24"/>
                <w:color w:val="auto"/>
              </w:rPr>
            </w:pPr>
          </w:p>
        </w:tc>
        <w:tc>
          <w:tcPr>
            <w:tcW w:w="1760" w:type="dxa"/>
            <w:vAlign w:val="bottom"/>
            <w:tcBorders>
              <w:bottom w:val="single" w:sz="8" w:color="auto"/>
            </w:tcBorders>
            <w:vMerge w:val="continue"/>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0" w:name="page41"/>
    <w:bookmarkEnd w:id="4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980" w:hanging="486"/>
        <w:spacing w:after="0"/>
        <w:tabs>
          <w:tab w:leader="none" w:pos="980" w:val="left"/>
        </w:tabs>
        <w:numPr>
          <w:ilvl w:val="1"/>
          <w:numId w:val="39"/>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3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0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0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0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560" w:type="dxa"/>
            <w:vAlign w:val="bottom"/>
            <w:tcBorders>
              <w:top w:val="single" w:sz="8" w:color="auto"/>
            </w:tcBorders>
            <w:gridSpan w:val="4"/>
          </w:tcPr>
          <w:p>
            <w:pPr>
              <w:jc w:val="center"/>
              <w:ind w:right="100"/>
              <w:spacing w:after="0" w:line="191" w:lineRule="exact"/>
              <w:rPr>
                <w:sz w:val="20"/>
                <w:szCs w:val="20"/>
                <w:color w:val="auto"/>
              </w:rPr>
            </w:pPr>
            <w:r>
              <w:rPr>
                <w:rFonts w:ascii="Arial" w:cs="Arial" w:eastAsia="Arial" w:hAnsi="Arial"/>
                <w:sz w:val="18"/>
                <w:szCs w:val="18"/>
                <w:b w:val="1"/>
                <w:bCs w:val="1"/>
                <w:color w:val="auto"/>
                <w:w w:val="86"/>
              </w:rPr>
              <w:t>Gross amounts not offset</w:t>
            </w:r>
          </w:p>
        </w:tc>
        <w:tc>
          <w:tcPr>
            <w:tcW w:w="106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Gross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5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presented</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30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0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78"/>
        </w:trPr>
        <w:tc>
          <w:tcPr>
            <w:tcW w:w="500" w:type="dxa"/>
            <w:vAlign w:val="bottom"/>
          </w:tcPr>
          <w:p>
            <w:pPr>
              <w:spacing w:after="0"/>
              <w:rPr>
                <w:sz w:val="15"/>
                <w:szCs w:val="15"/>
                <w:color w:val="auto"/>
              </w:rPr>
            </w:pPr>
          </w:p>
        </w:tc>
        <w:tc>
          <w:tcPr>
            <w:tcW w:w="30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00" w:type="dxa"/>
            <w:vAlign w:val="bottom"/>
            <w:gridSpan w:val="2"/>
          </w:tcPr>
          <w:p>
            <w:pPr>
              <w:jc w:val="center"/>
              <w:ind w:right="220"/>
              <w:spacing w:after="0" w:line="178" w:lineRule="exact"/>
              <w:rPr>
                <w:sz w:val="20"/>
                <w:szCs w:val="20"/>
                <w:color w:val="auto"/>
              </w:rPr>
            </w:pPr>
            <w:r>
              <w:rPr>
                <w:rFonts w:ascii="Arial" w:cs="Arial" w:eastAsia="Arial" w:hAnsi="Arial"/>
                <w:sz w:val="18"/>
                <w:szCs w:val="18"/>
                <w:b w:val="1"/>
                <w:bCs w:val="1"/>
                <w:color w:val="auto"/>
                <w:w w:val="84"/>
              </w:rPr>
              <w:t>Gross</w:t>
            </w:r>
          </w:p>
        </w:tc>
        <w:tc>
          <w:tcPr>
            <w:tcW w:w="1280" w:type="dxa"/>
            <w:vAlign w:val="bottom"/>
            <w:gridSpan w:val="2"/>
          </w:tcPr>
          <w:p>
            <w:pPr>
              <w:jc w:val="center"/>
              <w:ind w:right="20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2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amounts</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Cash</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collateral</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12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pledged</w:t>
            </w:r>
          </w:p>
        </w:tc>
        <w:tc>
          <w:tcPr>
            <w:tcW w:w="11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2"/>
              </w:rPr>
              <w:t>Net 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0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agreements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101,403</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101,403</w:t>
            </w: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(100,541)</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(862)</w:t>
            </w:r>
          </w:p>
        </w:tc>
        <w:tc>
          <w:tcPr>
            <w:tcW w:w="10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Financial liabilities at FVTPL</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3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w:t>
            </w: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34,652</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34,652</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(32,387)</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2,265</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136,055</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136,055</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(100,541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(33,249</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2,265</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426"/>
        </w:trPr>
        <w:tc>
          <w:tcPr>
            <w:tcW w:w="500" w:type="dxa"/>
            <w:vAlign w:val="bottom"/>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580" w:type="dxa"/>
            <w:vAlign w:val="bottom"/>
            <w:tcBorders>
              <w:bottom w:val="single" w:sz="8" w:color="auto"/>
            </w:tcBorders>
            <w:gridSpan w:val="4"/>
          </w:tcPr>
          <w:p>
            <w:pPr>
              <w:ind w:left="980"/>
              <w:spacing w:after="0"/>
              <w:rPr>
                <w:sz w:val="20"/>
                <w:szCs w:val="20"/>
                <w:color w:val="auto"/>
              </w:rPr>
            </w:pPr>
            <w:r>
              <w:rPr>
                <w:rFonts w:ascii="Arial" w:cs="Arial" w:eastAsia="Arial" w:hAnsi="Arial"/>
                <w:sz w:val="18"/>
                <w:szCs w:val="18"/>
                <w:b w:val="1"/>
                <w:bCs w:val="1"/>
                <w:color w:val="auto"/>
                <w:w w:val="97"/>
              </w:rPr>
              <w:t>December 31, 2015</w:t>
            </w: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r>
      <w:tr>
        <w:trPr>
          <w:trHeight w:val="191"/>
        </w:trPr>
        <w:tc>
          <w:tcPr>
            <w:tcW w:w="500" w:type="dxa"/>
            <w:vAlign w:val="bottom"/>
          </w:tcPr>
          <w:p>
            <w:pPr>
              <w:spacing w:after="0"/>
              <w:rPr>
                <w:sz w:val="16"/>
                <w:szCs w:val="16"/>
                <w:color w:val="auto"/>
              </w:rPr>
            </w:pPr>
          </w:p>
        </w:tc>
        <w:tc>
          <w:tcPr>
            <w:tcW w:w="30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0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Net amount</w:t>
            </w:r>
          </w:p>
        </w:tc>
        <w:tc>
          <w:tcPr>
            <w:tcW w:w="2560" w:type="dxa"/>
            <w:vAlign w:val="bottom"/>
            <w:gridSpan w:val="4"/>
          </w:tcPr>
          <w:p>
            <w:pPr>
              <w:jc w:val="center"/>
              <w:ind w:right="100"/>
              <w:spacing w:after="0" w:line="191" w:lineRule="exact"/>
              <w:rPr>
                <w:sz w:val="20"/>
                <w:szCs w:val="20"/>
                <w:color w:val="auto"/>
              </w:rPr>
            </w:pPr>
            <w:r>
              <w:rPr>
                <w:rFonts w:ascii="Arial" w:cs="Arial" w:eastAsia="Arial" w:hAnsi="Arial"/>
                <w:sz w:val="18"/>
                <w:szCs w:val="18"/>
                <w:b w:val="1"/>
                <w:bCs w:val="1"/>
                <w:color w:val="auto"/>
                <w:w w:val="86"/>
              </w:rPr>
              <w:t>Gross amounts not offset</w:t>
            </w:r>
          </w:p>
        </w:tc>
        <w:tc>
          <w:tcPr>
            <w:tcW w:w="1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Gross</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of liabilities</w:t>
            </w:r>
          </w:p>
        </w:tc>
        <w:tc>
          <w:tcPr>
            <w:tcW w:w="2560" w:type="dxa"/>
            <w:vAlign w:val="bottom"/>
            <w:gridSpan w:val="4"/>
          </w:tcPr>
          <w:p>
            <w:pPr>
              <w:jc w:val="center"/>
              <w:ind w:right="80"/>
              <w:spacing w:after="0"/>
              <w:rPr>
                <w:sz w:val="20"/>
                <w:szCs w:val="20"/>
                <w:color w:val="auto"/>
              </w:rPr>
            </w:pPr>
            <w:r>
              <w:rPr>
                <w:rFonts w:ascii="Arial" w:cs="Arial" w:eastAsia="Arial" w:hAnsi="Arial"/>
                <w:sz w:val="18"/>
                <w:szCs w:val="18"/>
                <w:b w:val="1"/>
                <w:bCs w:val="1"/>
                <w:color w:val="auto"/>
                <w:w w:val="87"/>
              </w:rPr>
              <w:t>in the consolidated</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amounts</w:t>
            </w:r>
          </w:p>
        </w:tc>
        <w:tc>
          <w:tcPr>
            <w:tcW w:w="13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presented</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48"/>
        </w:trPr>
        <w:tc>
          <w:tcPr>
            <w:tcW w:w="500" w:type="dxa"/>
            <w:vAlign w:val="bottom"/>
          </w:tcPr>
          <w:p>
            <w:pPr>
              <w:spacing w:after="0"/>
              <w:rPr>
                <w:sz w:val="21"/>
                <w:szCs w:val="21"/>
                <w:color w:val="auto"/>
              </w:rPr>
            </w:pPr>
          </w:p>
        </w:tc>
        <w:tc>
          <w:tcPr>
            <w:tcW w:w="30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3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 the</w:t>
            </w:r>
          </w:p>
        </w:tc>
        <w:tc>
          <w:tcPr>
            <w:tcW w:w="256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8"/>
              </w:rPr>
              <w:t>position</w:t>
            </w:r>
          </w:p>
        </w:tc>
        <w:tc>
          <w:tcPr>
            <w:tcW w:w="106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0" w:type="dxa"/>
            <w:vAlign w:val="bottom"/>
          </w:tcPr>
          <w:p>
            <w:pPr>
              <w:spacing w:after="0"/>
              <w:rPr>
                <w:sz w:val="21"/>
                <w:szCs w:val="21"/>
                <w:color w:val="auto"/>
              </w:rPr>
            </w:pPr>
          </w:p>
        </w:tc>
      </w:tr>
      <w:tr>
        <w:trPr>
          <w:trHeight w:val="178"/>
        </w:trPr>
        <w:tc>
          <w:tcPr>
            <w:tcW w:w="500" w:type="dxa"/>
            <w:vAlign w:val="bottom"/>
          </w:tcPr>
          <w:p>
            <w:pPr>
              <w:spacing w:after="0"/>
              <w:rPr>
                <w:sz w:val="15"/>
                <w:szCs w:val="15"/>
                <w:color w:val="auto"/>
              </w:rPr>
            </w:pPr>
          </w:p>
        </w:tc>
        <w:tc>
          <w:tcPr>
            <w:tcW w:w="30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300" w:type="dxa"/>
            <w:vAlign w:val="bottom"/>
            <w:gridSpan w:val="2"/>
          </w:tcPr>
          <w:p>
            <w:pPr>
              <w:jc w:val="center"/>
              <w:ind w:right="220"/>
              <w:spacing w:after="0" w:line="178" w:lineRule="exact"/>
              <w:rPr>
                <w:sz w:val="20"/>
                <w:szCs w:val="20"/>
                <w:color w:val="auto"/>
              </w:rPr>
            </w:pPr>
            <w:r>
              <w:rPr>
                <w:rFonts w:ascii="Arial" w:cs="Arial" w:eastAsia="Arial" w:hAnsi="Arial"/>
                <w:sz w:val="18"/>
                <w:szCs w:val="18"/>
                <w:b w:val="1"/>
                <w:bCs w:val="1"/>
                <w:color w:val="auto"/>
                <w:w w:val="84"/>
              </w:rPr>
              <w:t>Gross</w:t>
            </w:r>
          </w:p>
        </w:tc>
        <w:tc>
          <w:tcPr>
            <w:tcW w:w="1280" w:type="dxa"/>
            <w:vAlign w:val="bottom"/>
            <w:gridSpan w:val="2"/>
          </w:tcPr>
          <w:p>
            <w:pPr>
              <w:jc w:val="center"/>
              <w:ind w:right="20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300" w:type="dxa"/>
            <w:vAlign w:val="bottom"/>
            <w:gridSpan w:val="2"/>
          </w:tcPr>
          <w:p>
            <w:pPr>
              <w:jc w:val="center"/>
              <w:ind w:right="220"/>
              <w:spacing w:after="0" w:line="178" w:lineRule="exact"/>
              <w:rPr>
                <w:sz w:val="20"/>
                <w:szCs w:val="20"/>
                <w:color w:val="auto"/>
              </w:rPr>
            </w:pPr>
            <w:r>
              <w:rPr>
                <w:rFonts w:ascii="Arial" w:cs="Arial" w:eastAsia="Arial" w:hAnsi="Arial"/>
                <w:sz w:val="18"/>
                <w:szCs w:val="18"/>
                <w:b w:val="1"/>
                <w:bCs w:val="1"/>
                <w:color w:val="auto"/>
                <w:w w:val="86"/>
              </w:rPr>
              <w:t>consolidated</w:t>
            </w:r>
          </w:p>
        </w:tc>
        <w:tc>
          <w:tcPr>
            <w:tcW w:w="108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08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00" w:type="dxa"/>
            <w:vAlign w:val="bottom"/>
          </w:tcPr>
          <w:p>
            <w:pPr>
              <w:spacing w:after="0"/>
              <w:rPr>
                <w:sz w:val="15"/>
                <w:szCs w:val="15"/>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amounts</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statement of</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statement of</w:t>
            </w: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Cash</w:t>
            </w:r>
          </w:p>
        </w:tc>
        <w:tc>
          <w:tcPr>
            <w:tcW w:w="10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0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2"/>
              </w:rPr>
              <w:t>of</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1"/>
              </w:rPr>
              <w:t>collateral</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6"/>
              </w:rPr>
              <w:t>Net</w:t>
            </w:r>
          </w:p>
        </w:tc>
        <w:tc>
          <w:tcPr>
            <w:tcW w:w="2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120" w:type="dxa"/>
            <w:vAlign w:val="bottom"/>
            <w:gridSpan w:val="2"/>
          </w:tcPr>
          <w:p>
            <w:pPr>
              <w:ind w:left="1060"/>
              <w:spacing w:after="0"/>
              <w:rPr>
                <w:sz w:val="20"/>
                <w:szCs w:val="20"/>
                <w:color w:val="auto"/>
              </w:rPr>
            </w:pPr>
            <w:r>
              <w:rPr>
                <w:rFonts w:ascii="Arial" w:cs="Arial" w:eastAsia="Arial" w:hAnsi="Arial"/>
                <w:sz w:val="18"/>
                <w:szCs w:val="18"/>
                <w:b w:val="1"/>
                <w:bCs w:val="1"/>
                <w:color w:val="auto"/>
              </w:rPr>
              <w:t>Description</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liabilities</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position</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pledged</w:t>
            </w:r>
          </w:p>
        </w:tc>
        <w:tc>
          <w:tcPr>
            <w:tcW w:w="11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4"/>
              </w:rPr>
              <w:t>Amount</w:t>
            </w:r>
          </w:p>
        </w:tc>
        <w:tc>
          <w:tcPr>
            <w:tcW w:w="2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00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 repurchase</w:t>
            </w:r>
          </w:p>
        </w:tc>
        <w:tc>
          <w:tcPr>
            <w:tcW w:w="1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0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6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agreements</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114,084</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114,084</w:t>
            </w:r>
          </w:p>
        </w:tc>
        <w:tc>
          <w:tcPr>
            <w:tcW w:w="13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(111,620)</w:t>
            </w: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(2,463)</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2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Financial liabilities at FVTPL</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89</w:t>
            </w:r>
          </w:p>
        </w:tc>
        <w:tc>
          <w:tcPr>
            <w:tcW w:w="10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60" w:type="dxa"/>
            <w:vAlign w:val="bottom"/>
          </w:tcPr>
          <w:p>
            <w:pPr>
              <w:jc w:val="right"/>
              <w:spacing w:after="0"/>
              <w:rPr>
                <w:sz w:val="20"/>
                <w:szCs w:val="20"/>
                <w:color w:val="auto"/>
              </w:rPr>
            </w:pPr>
            <w:r>
              <w:rPr>
                <w:rFonts w:ascii="Arial" w:cs="Arial" w:eastAsia="Arial" w:hAnsi="Arial"/>
                <w:sz w:val="18"/>
                <w:szCs w:val="18"/>
                <w:color w:val="auto"/>
              </w:rPr>
              <w:t>89</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r>
      <w:tr>
        <w:trPr>
          <w:trHeight w:val="202"/>
        </w:trPr>
        <w:tc>
          <w:tcPr>
            <w:tcW w:w="500" w:type="dxa"/>
            <w:vAlign w:val="bottom"/>
          </w:tcPr>
          <w:p>
            <w:pPr>
              <w:spacing w:after="0"/>
              <w:rPr>
                <w:sz w:val="17"/>
                <w:szCs w:val="17"/>
                <w:color w:val="auto"/>
              </w:rPr>
            </w:pPr>
          </w:p>
        </w:tc>
        <w:tc>
          <w:tcPr>
            <w:tcW w:w="312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Derivative financial instruments -</w:t>
            </w: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r>
      <w:tr>
        <w:trPr>
          <w:trHeight w:val="244"/>
        </w:trPr>
        <w:tc>
          <w:tcPr>
            <w:tcW w:w="500" w:type="dxa"/>
            <w:vAlign w:val="bottom"/>
          </w:tcPr>
          <w:p>
            <w:pPr>
              <w:spacing w:after="0"/>
              <w:rPr>
                <w:sz w:val="21"/>
                <w:szCs w:val="21"/>
                <w:color w:val="auto"/>
              </w:rPr>
            </w:pPr>
          </w:p>
        </w:tc>
        <w:tc>
          <w:tcPr>
            <w:tcW w:w="3120" w:type="dxa"/>
            <w:vAlign w:val="bottom"/>
            <w:gridSpan w:val="2"/>
            <w:shd w:val="clear" w:color="auto" w:fill="CCEEFF"/>
          </w:tcPr>
          <w:p>
            <w:pPr>
              <w:ind w:left="100"/>
              <w:spacing w:after="0"/>
              <w:rPr>
                <w:sz w:val="20"/>
                <w:szCs w:val="20"/>
                <w:color w:val="auto"/>
              </w:rPr>
            </w:pPr>
            <w:r>
              <w:rPr>
                <w:rFonts w:ascii="Arial" w:cs="Arial" w:eastAsia="Arial" w:hAnsi="Arial"/>
                <w:sz w:val="18"/>
                <w:szCs w:val="18"/>
                <w:color w:val="auto"/>
              </w:rPr>
              <w:t>hedging</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29,889</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29,889</w:t>
            </w:r>
          </w:p>
        </w:tc>
        <w:tc>
          <w:tcPr>
            <w:tcW w:w="10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(26,899)</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2,990</w:t>
            </w:r>
          </w:p>
        </w:tc>
        <w:tc>
          <w:tcPr>
            <w:tcW w:w="200" w:type="dxa"/>
            <w:vAlign w:val="bottom"/>
          </w:tcPr>
          <w:p>
            <w:pPr>
              <w:spacing w:after="0"/>
              <w:rPr>
                <w:sz w:val="21"/>
                <w:szCs w:val="21"/>
                <w:color w:val="auto"/>
              </w:rPr>
            </w:pPr>
          </w:p>
        </w:tc>
      </w:tr>
      <w:tr>
        <w:trPr>
          <w:trHeight w:val="223"/>
        </w:trPr>
        <w:tc>
          <w:tcPr>
            <w:tcW w:w="500" w:type="dxa"/>
            <w:vAlign w:val="bottom"/>
          </w:tcPr>
          <w:p>
            <w:pPr>
              <w:spacing w:after="0"/>
              <w:rPr>
                <w:sz w:val="19"/>
                <w:szCs w:val="19"/>
                <w:color w:val="auto"/>
              </w:rPr>
            </w:pPr>
          </w:p>
        </w:tc>
        <w:tc>
          <w:tcPr>
            <w:tcW w:w="3120" w:type="dxa"/>
            <w:vAlign w:val="bottom"/>
            <w:gridSpan w:val="2"/>
          </w:tcPr>
          <w:p>
            <w:pPr>
              <w:spacing w:after="0"/>
              <w:rPr>
                <w:sz w:val="20"/>
                <w:szCs w:val="20"/>
                <w:color w:val="auto"/>
              </w:rPr>
            </w:pPr>
            <w:r>
              <w:rPr>
                <w:rFonts w:ascii="Arial" w:cs="Arial" w:eastAsia="Arial" w:hAnsi="Arial"/>
                <w:sz w:val="18"/>
                <w:szCs w:val="18"/>
                <w:color w:val="auto"/>
              </w:rPr>
              <w:t>Total</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144,062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144,062</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(111,620</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(29,362</w:t>
            </w:r>
          </w:p>
        </w:tc>
        <w:tc>
          <w:tcPr>
            <w:tcW w:w="180" w:type="dxa"/>
            <w:vAlign w:val="bottom"/>
          </w:tcPr>
          <w:p>
            <w:pPr>
              <w:jc w:val="right"/>
              <w:ind w:right="40"/>
              <w:spacing w:after="0"/>
              <w:rPr>
                <w:sz w:val="20"/>
                <w:szCs w:val="20"/>
                <w:color w:val="auto"/>
              </w:rPr>
            </w:pPr>
            <w:r>
              <w:rPr>
                <w:rFonts w:ascii="Arial" w:cs="Arial" w:eastAsia="Arial" w:hAnsi="Arial"/>
                <w:sz w:val="16"/>
                <w:szCs w:val="16"/>
                <w:b w:val="1"/>
                <w:bCs w:val="1"/>
                <w:color w:val="auto"/>
                <w:w w:val="74"/>
              </w:rPr>
              <w:t>)</w:t>
            </w: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3,080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0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jc w:val="right"/>
              <w:ind w:right="70"/>
              <w:spacing w:after="0"/>
              <w:rPr>
                <w:sz w:val="20"/>
                <w:szCs w:val="20"/>
                <w:color w:val="auto"/>
              </w:rPr>
            </w:pPr>
            <w:r>
              <w:rPr>
                <w:rFonts w:ascii="Arial" w:cs="Arial" w:eastAsia="Arial" w:hAnsi="Arial"/>
                <w:sz w:val="18"/>
                <w:szCs w:val="18"/>
                <w:color w:val="auto"/>
              </w:rPr>
              <w:t>39</w:t>
            </w:r>
          </w:p>
        </w:tc>
        <w:tc>
          <w:tcPr>
            <w:tcW w:w="2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41" w:name="page42"/>
    <w:bookmarkEnd w:id="4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40"/>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4.9   Offsetting of financial assets and liabilities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statement of financial position as of September 30, 2016 and December 31, 2015:</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60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3100" w:type="dxa"/>
            <w:vAlign w:val="bottom"/>
            <w:gridSpan w:val="4"/>
          </w:tcPr>
          <w:p>
            <w:pPr>
              <w:ind w:left="80"/>
              <w:spacing w:after="0"/>
              <w:rPr>
                <w:sz w:val="20"/>
                <w:szCs w:val="20"/>
                <w:color w:val="auto"/>
              </w:rPr>
            </w:pPr>
            <w:r>
              <w:rPr>
                <w:rFonts w:ascii="Arial" w:cs="Arial" w:eastAsia="Arial" w:hAnsi="Arial"/>
                <w:sz w:val="18"/>
                <w:szCs w:val="18"/>
                <w:b w:val="1"/>
                <w:bCs w:val="1"/>
                <w:color w:val="auto"/>
              </w:rPr>
              <w:t>September 30, 2016</w:t>
            </w:r>
          </w:p>
        </w:tc>
        <w:tc>
          <w:tcPr>
            <w:tcW w:w="0" w:type="dxa"/>
            <w:vAlign w:val="bottom"/>
          </w:tcPr>
          <w:p>
            <w:pPr>
              <w:spacing w:after="0"/>
              <w:rPr>
                <w:sz w:val="1"/>
                <w:szCs w:val="1"/>
                <w:color w:val="auto"/>
              </w:rPr>
            </w:pPr>
          </w:p>
        </w:tc>
      </w:tr>
      <w:tr>
        <w:trPr>
          <w:trHeight w:val="191"/>
        </w:trPr>
        <w:tc>
          <w:tcPr>
            <w:tcW w:w="6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52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4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liabilities presented</w:t>
            </w: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86"/>
              </w:rPr>
              <w:t>Gross amounts</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statement of</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w:t>
            </w:r>
          </w:p>
        </w:tc>
        <w:tc>
          <w:tcPr>
            <w:tcW w:w="0" w:type="dxa"/>
            <w:vAlign w:val="bottom"/>
          </w:tcPr>
          <w:p>
            <w:pPr>
              <w:spacing w:after="0"/>
              <w:rPr>
                <w:sz w:val="1"/>
                <w:szCs w:val="1"/>
                <w:color w:val="auto"/>
              </w:rPr>
            </w:pPr>
          </w:p>
        </w:tc>
      </w:tr>
      <w:tr>
        <w:trPr>
          <w:trHeight w:val="234"/>
        </w:trPr>
        <w:tc>
          <w:tcPr>
            <w:tcW w:w="6000" w:type="dxa"/>
            <w:vAlign w:val="bottom"/>
          </w:tcPr>
          <w:p>
            <w:pPr>
              <w:ind w:left="2640"/>
              <w:spacing w:after="0"/>
              <w:rPr>
                <w:sz w:val="20"/>
                <w:szCs w:val="20"/>
                <w:color w:val="auto"/>
              </w:rPr>
            </w:pPr>
            <w:r>
              <w:rPr>
                <w:rFonts w:ascii="Arial" w:cs="Arial" w:eastAsia="Arial" w:hAnsi="Arial"/>
                <w:sz w:val="18"/>
                <w:szCs w:val="18"/>
                <w:b w:val="1"/>
                <w:bCs w:val="1"/>
                <w:color w:val="auto"/>
              </w:rPr>
              <w:t>Description</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60" w:type="dxa"/>
            <w:vAlign w:val="bottom"/>
          </w:tcPr>
          <w:p>
            <w:pPr>
              <w:jc w:val="right"/>
              <w:ind w:right="50"/>
              <w:spacing w:after="0"/>
              <w:rPr>
                <w:sz w:val="20"/>
                <w:szCs w:val="20"/>
                <w:color w:val="auto"/>
              </w:rPr>
            </w:pPr>
            <w:r>
              <w:rPr>
                <w:rFonts w:ascii="Arial" w:cs="Arial" w:eastAsia="Arial" w:hAnsi="Arial"/>
                <w:sz w:val="18"/>
                <w:szCs w:val="18"/>
                <w:b w:val="1"/>
                <w:bCs w:val="1"/>
                <w:color w:val="auto"/>
              </w:rPr>
              <w:t>of liabilities</w:t>
            </w:r>
          </w:p>
        </w:tc>
        <w:tc>
          <w:tcPr>
            <w:tcW w:w="200" w:type="dxa"/>
            <w:vAlign w:val="bottom"/>
          </w:tcPr>
          <w:p>
            <w:pPr>
              <w:spacing w:after="0"/>
              <w:rPr>
                <w:sz w:val="20"/>
                <w:szCs w:val="20"/>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0" w:type="dxa"/>
            <w:vAlign w:val="bottom"/>
          </w:tcPr>
          <w:p>
            <w:pPr>
              <w:spacing w:after="0"/>
              <w:rPr>
                <w:sz w:val="1"/>
                <w:szCs w:val="1"/>
                <w:color w:val="auto"/>
              </w:rPr>
            </w:pPr>
          </w:p>
        </w:tc>
      </w:tr>
      <w:tr>
        <w:trPr>
          <w:trHeight w:val="20"/>
        </w:trPr>
        <w:tc>
          <w:tcPr>
            <w:tcW w:w="600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200" w:type="dxa"/>
            <w:vAlign w:val="bottom"/>
            <w:tcBorders>
              <w:right w:val="single" w:sz="8" w:color="CCEEFF"/>
            </w:tcBorders>
            <w:shd w:val="clear" w:color="auto" w:fill="CCEEFF"/>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60" w:type="dxa"/>
            <w:vAlign w:val="bottom"/>
            <w:gridSpan w:val="2"/>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101,403</w:t>
            </w:r>
          </w:p>
        </w:tc>
        <w:tc>
          <w:tcPr>
            <w:tcW w:w="1520" w:type="dxa"/>
            <w:vAlign w:val="bottom"/>
            <w:tcBorders>
              <w:right w:val="single" w:sz="8" w:color="CCEEFF"/>
            </w:tcBorders>
            <w:gridSpan w:val="2"/>
            <w:shd w:val="clear" w:color="auto" w:fill="CCEEFF"/>
          </w:tcPr>
          <w:p>
            <w:pPr>
              <w:ind w:left="1260"/>
              <w:spacing w:after="0"/>
              <w:rPr>
                <w:sz w:val="20"/>
                <w:szCs w:val="20"/>
                <w:color w:val="auto"/>
              </w:rPr>
            </w:pPr>
            <w:r>
              <w:rPr>
                <w:rFonts w:ascii="Arial" w:cs="Arial" w:eastAsia="Arial" w:hAnsi="Arial"/>
                <w:sz w:val="18"/>
                <w:szCs w:val="18"/>
                <w:b w:val="1"/>
                <w:bCs w:val="1"/>
                <w:color w:val="auto"/>
              </w:rPr>
              <w:t>-</w:t>
            </w:r>
          </w:p>
        </w:tc>
        <w:tc>
          <w:tcPr>
            <w:tcW w:w="1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101,403</w:t>
            </w:r>
          </w:p>
        </w:tc>
        <w:tc>
          <w:tcPr>
            <w:tcW w:w="0" w:type="dxa"/>
            <w:vAlign w:val="bottom"/>
          </w:tcPr>
          <w:p>
            <w:pPr>
              <w:spacing w:after="0"/>
              <w:rPr>
                <w:sz w:val="1"/>
                <w:szCs w:val="1"/>
                <w:color w:val="auto"/>
              </w:rPr>
            </w:pPr>
          </w:p>
        </w:tc>
      </w:tr>
      <w:tr>
        <w:trPr>
          <w:trHeight w:val="20"/>
        </w:trPr>
        <w:tc>
          <w:tcPr>
            <w:tcW w:w="60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Derivative financial instruments:</w:t>
            </w: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00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Financial liabilities at FVTPL</w:t>
            </w:r>
          </w:p>
        </w:tc>
        <w:tc>
          <w:tcPr>
            <w:tcW w:w="1620" w:type="dxa"/>
            <w:vAlign w:val="bottom"/>
            <w:gridSpan w:val="5"/>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520" w:type="dxa"/>
            <w:vAlign w:val="bottom"/>
            <w:tcBorders>
              <w:right w:val="single" w:sz="8" w:color="CCEEFF"/>
            </w:tcBorders>
            <w:gridSpan w:val="2"/>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000" w:type="dxa"/>
            <w:vAlign w:val="bottom"/>
          </w:tcPr>
          <w:p>
            <w:pPr>
              <w:ind w:left="160"/>
              <w:spacing w:after="0"/>
              <w:rPr>
                <w:sz w:val="20"/>
                <w:szCs w:val="20"/>
                <w:color w:val="auto"/>
              </w:rPr>
            </w:pPr>
            <w:r>
              <w:rPr>
                <w:rFonts w:ascii="Arial" w:cs="Arial" w:eastAsia="Arial" w:hAnsi="Arial"/>
                <w:sz w:val="18"/>
                <w:szCs w:val="18"/>
                <w:color w:val="auto"/>
              </w:rPr>
              <w:t>Derivative financial instruments - hedging</w:t>
            </w:r>
          </w:p>
        </w:tc>
        <w:tc>
          <w:tcPr>
            <w:tcW w:w="1620" w:type="dxa"/>
            <w:vAlign w:val="bottom"/>
            <w:gridSpan w:val="5"/>
          </w:tcPr>
          <w:p>
            <w:pPr>
              <w:jc w:val="right"/>
              <w:ind w:right="200"/>
              <w:spacing w:after="0"/>
              <w:rPr>
                <w:sz w:val="20"/>
                <w:szCs w:val="20"/>
                <w:color w:val="auto"/>
              </w:rPr>
            </w:pPr>
            <w:r>
              <w:rPr>
                <w:rFonts w:ascii="Arial" w:cs="Arial" w:eastAsia="Arial" w:hAnsi="Arial"/>
                <w:sz w:val="18"/>
                <w:szCs w:val="18"/>
                <w:color w:val="auto"/>
              </w:rPr>
              <w:t>34,652</w:t>
            </w:r>
          </w:p>
        </w:tc>
        <w:tc>
          <w:tcPr>
            <w:tcW w:w="152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34,652</w:t>
            </w:r>
          </w:p>
        </w:tc>
        <w:tc>
          <w:tcPr>
            <w:tcW w:w="0" w:type="dxa"/>
            <w:vAlign w:val="bottom"/>
          </w:tcPr>
          <w:p>
            <w:pPr>
              <w:spacing w:after="0"/>
              <w:rPr>
                <w:sz w:val="1"/>
                <w:szCs w:val="1"/>
                <w:color w:val="auto"/>
              </w:rPr>
            </w:pPr>
          </w:p>
        </w:tc>
      </w:tr>
      <w:tr>
        <w:trPr>
          <w:trHeight w:val="223"/>
        </w:trPr>
        <w:tc>
          <w:tcPr>
            <w:tcW w:w="6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101,403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top w:val="single" w:sz="8" w:color="CCEEFF"/>
              <w:bottom w:val="single" w:sz="8" w:color="CCEEFF"/>
              <w:right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101,403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6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2"/>
          </w:tcPr>
          <w:p>
            <w:pPr>
              <w:spacing w:after="0"/>
              <w:rPr>
                <w:sz w:val="20"/>
                <w:szCs w:val="20"/>
                <w:color w:val="auto"/>
              </w:rPr>
            </w:pPr>
            <w:r>
              <w:rPr>
                <w:rFonts w:ascii="Arial" w:cs="Arial" w:eastAsia="Arial" w:hAnsi="Arial"/>
                <w:sz w:val="18"/>
                <w:szCs w:val="18"/>
                <w:b w:val="1"/>
                <w:bCs w:val="1"/>
                <w:color w:val="auto"/>
                <w:w w:val="91"/>
              </w:rPr>
              <w:t>December 31, 2015</w:t>
            </w:r>
          </w:p>
        </w:tc>
        <w:tc>
          <w:tcPr>
            <w:tcW w:w="14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60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5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148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 of</w:t>
            </w: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offset in the</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8"/>
              </w:rPr>
              <w:t>liabilities presented</w:t>
            </w: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7"/>
              </w:rPr>
              <w:t>in the consolidated</w:t>
            </w:r>
          </w:p>
        </w:tc>
        <w:tc>
          <w:tcPr>
            <w:tcW w:w="0" w:type="dxa"/>
            <w:vAlign w:val="bottom"/>
          </w:tcPr>
          <w:p>
            <w:pPr>
              <w:spacing w:after="0"/>
              <w:rPr>
                <w:sz w:val="1"/>
                <w:szCs w:val="1"/>
                <w:color w:val="auto"/>
              </w:rPr>
            </w:pPr>
          </w:p>
        </w:tc>
      </w:tr>
      <w:tr>
        <w:trPr>
          <w:trHeight w:val="216"/>
        </w:trPr>
        <w:tc>
          <w:tcPr>
            <w:tcW w:w="6000" w:type="dxa"/>
            <w:vAlign w:val="bottom"/>
          </w:tcPr>
          <w:p>
            <w:pPr>
              <w:spacing w:after="0"/>
              <w:rPr>
                <w:sz w:val="18"/>
                <w:szCs w:val="18"/>
                <w:color w:val="auto"/>
              </w:rPr>
            </w:pPr>
          </w:p>
        </w:tc>
        <w:tc>
          <w:tcPr>
            <w:tcW w:w="1620" w:type="dxa"/>
            <w:vAlign w:val="bottom"/>
            <w:gridSpan w:val="5"/>
          </w:tcPr>
          <w:p>
            <w:pPr>
              <w:jc w:val="right"/>
              <w:ind w:right="180"/>
              <w:spacing w:after="0"/>
              <w:rPr>
                <w:sz w:val="20"/>
                <w:szCs w:val="20"/>
                <w:color w:val="auto"/>
              </w:rPr>
            </w:pPr>
            <w:r>
              <w:rPr>
                <w:rFonts w:ascii="Arial" w:cs="Arial" w:eastAsia="Arial" w:hAnsi="Arial"/>
                <w:sz w:val="18"/>
                <w:szCs w:val="18"/>
                <w:b w:val="1"/>
                <w:bCs w:val="1"/>
                <w:color w:val="auto"/>
                <w:w w:val="92"/>
              </w:rPr>
              <w:t>Gross amounts of</w:t>
            </w: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statement of</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w:t>
            </w:r>
          </w:p>
        </w:tc>
        <w:tc>
          <w:tcPr>
            <w:tcW w:w="0" w:type="dxa"/>
            <w:vAlign w:val="bottom"/>
          </w:tcPr>
          <w:p>
            <w:pPr>
              <w:spacing w:after="0"/>
              <w:rPr>
                <w:sz w:val="1"/>
                <w:szCs w:val="1"/>
                <w:color w:val="auto"/>
              </w:rPr>
            </w:pPr>
          </w:p>
        </w:tc>
      </w:tr>
      <w:tr>
        <w:trPr>
          <w:trHeight w:val="234"/>
        </w:trPr>
        <w:tc>
          <w:tcPr>
            <w:tcW w:w="6000" w:type="dxa"/>
            <w:vAlign w:val="bottom"/>
          </w:tcPr>
          <w:p>
            <w:pPr>
              <w:ind w:left="2540"/>
              <w:spacing w:after="0"/>
              <w:rPr>
                <w:sz w:val="20"/>
                <w:szCs w:val="20"/>
                <w:color w:val="auto"/>
              </w:rPr>
            </w:pPr>
            <w:r>
              <w:rPr>
                <w:rFonts w:ascii="Arial" w:cs="Arial" w:eastAsia="Arial" w:hAnsi="Arial"/>
                <w:sz w:val="18"/>
                <w:szCs w:val="18"/>
                <w:b w:val="1"/>
                <w:bCs w:val="1"/>
                <w:color w:val="auto"/>
              </w:rPr>
              <w:t>Description</w:t>
            </w: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60" w:type="dxa"/>
            <w:vAlign w:val="bottom"/>
          </w:tcPr>
          <w:p>
            <w:pPr>
              <w:jc w:val="right"/>
              <w:ind w:right="230"/>
              <w:spacing w:after="0"/>
              <w:rPr>
                <w:sz w:val="20"/>
                <w:szCs w:val="20"/>
                <w:color w:val="auto"/>
              </w:rPr>
            </w:pPr>
            <w:r>
              <w:rPr>
                <w:rFonts w:ascii="Arial" w:cs="Arial" w:eastAsia="Arial" w:hAnsi="Arial"/>
                <w:sz w:val="18"/>
                <w:szCs w:val="18"/>
                <w:b w:val="1"/>
                <w:bCs w:val="1"/>
                <w:color w:val="auto"/>
              </w:rPr>
              <w:t>liabilities</w:t>
            </w:r>
          </w:p>
        </w:tc>
        <w:tc>
          <w:tcPr>
            <w:tcW w:w="200" w:type="dxa"/>
            <w:vAlign w:val="bottom"/>
          </w:tcPr>
          <w:p>
            <w:pPr>
              <w:spacing w:after="0"/>
              <w:rPr>
                <w:sz w:val="20"/>
                <w:szCs w:val="20"/>
                <w:color w:val="auto"/>
              </w:rPr>
            </w:pPr>
          </w:p>
        </w:tc>
        <w:tc>
          <w:tcPr>
            <w:tcW w:w="15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58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financial position</w:t>
            </w:r>
          </w:p>
        </w:tc>
        <w:tc>
          <w:tcPr>
            <w:tcW w:w="0" w:type="dxa"/>
            <w:vAlign w:val="bottom"/>
          </w:tcPr>
          <w:p>
            <w:pPr>
              <w:spacing w:after="0"/>
              <w:rPr>
                <w:sz w:val="1"/>
                <w:szCs w:val="1"/>
                <w:color w:val="auto"/>
              </w:rPr>
            </w:pPr>
          </w:p>
        </w:tc>
      </w:tr>
      <w:tr>
        <w:trPr>
          <w:trHeight w:val="20"/>
        </w:trPr>
        <w:tc>
          <w:tcPr>
            <w:tcW w:w="6000" w:type="dxa"/>
            <w:vAlign w:val="bottom"/>
            <w:shd w:val="clear" w:color="auto" w:fill="000000"/>
          </w:tcPr>
          <w:p>
            <w:pPr>
              <w:spacing w:after="0" w:line="20" w:lineRule="exact"/>
              <w:rPr>
                <w:sz w:val="1"/>
                <w:szCs w:val="1"/>
                <w:color w:val="auto"/>
              </w:rPr>
            </w:pPr>
          </w:p>
        </w:tc>
        <w:tc>
          <w:tcPr>
            <w:tcW w:w="80" w:type="dxa"/>
            <w:vAlign w:val="bottom"/>
            <w:shd w:val="clear" w:color="auto" w:fill="CCEEFF"/>
          </w:tcPr>
          <w:p>
            <w:pPr>
              <w:spacing w:after="0" w:line="20" w:lineRule="exact"/>
              <w:rPr>
                <w:sz w:val="1"/>
                <w:szCs w:val="1"/>
                <w:color w:val="auto"/>
              </w:rPr>
            </w:pPr>
          </w:p>
        </w:tc>
        <w:tc>
          <w:tcPr>
            <w:tcW w:w="1340" w:type="dxa"/>
            <w:vAlign w:val="bottom"/>
            <w:gridSpan w:val="3"/>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200" w:type="dxa"/>
            <w:vAlign w:val="bottom"/>
            <w:tcBorders>
              <w:right w:val="single" w:sz="8" w:color="CCEEFF"/>
            </w:tcBorders>
            <w:shd w:val="clear" w:color="auto" w:fill="CCEEFF"/>
          </w:tcPr>
          <w:p>
            <w:pPr>
              <w:spacing w:after="0" w:line="20" w:lineRule="exact"/>
              <w:rPr>
                <w:sz w:val="1"/>
                <w:szCs w:val="1"/>
                <w:color w:val="auto"/>
              </w:rPr>
            </w:pPr>
          </w:p>
        </w:tc>
        <w:tc>
          <w:tcPr>
            <w:tcW w:w="148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600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80" w:type="dxa"/>
            <w:vAlign w:val="bottom"/>
            <w:shd w:val="clear" w:color="auto" w:fill="CCEEFF"/>
          </w:tcPr>
          <w:p>
            <w:pPr>
              <w:spacing w:after="0"/>
              <w:rPr>
                <w:sz w:val="20"/>
                <w:szCs w:val="20"/>
                <w:color w:val="auto"/>
              </w:rPr>
            </w:pPr>
          </w:p>
        </w:tc>
        <w:tc>
          <w:tcPr>
            <w:tcW w:w="1540" w:type="dxa"/>
            <w:vAlign w:val="bottom"/>
            <w:gridSpan w:val="4"/>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114,084</w:t>
            </w:r>
          </w:p>
        </w:tc>
        <w:tc>
          <w:tcPr>
            <w:tcW w:w="1520" w:type="dxa"/>
            <w:vAlign w:val="bottom"/>
            <w:tcBorders>
              <w:right w:val="single" w:sz="8" w:color="CCEEFF"/>
            </w:tcBorders>
            <w:gridSpan w:val="2"/>
            <w:shd w:val="clear" w:color="auto" w:fill="CCEEFF"/>
          </w:tcPr>
          <w:p>
            <w:pPr>
              <w:ind w:left="1260"/>
              <w:spacing w:after="0"/>
              <w:rPr>
                <w:sz w:val="20"/>
                <w:szCs w:val="20"/>
                <w:color w:val="auto"/>
              </w:rPr>
            </w:pPr>
            <w:r>
              <w:rPr>
                <w:rFonts w:ascii="Arial" w:cs="Arial" w:eastAsia="Arial" w:hAnsi="Arial"/>
                <w:sz w:val="18"/>
                <w:szCs w:val="18"/>
                <w:b w:val="1"/>
                <w:bCs w:val="1"/>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114,084</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0"/>
        </w:trPr>
        <w:tc>
          <w:tcPr>
            <w:tcW w:w="60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Derivative financial instruments:</w:t>
            </w:r>
          </w:p>
        </w:tc>
        <w:tc>
          <w:tcPr>
            <w:tcW w:w="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600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0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Financial liabilities at FVTPL</w:t>
            </w:r>
          </w:p>
        </w:tc>
        <w:tc>
          <w:tcPr>
            <w:tcW w:w="1620" w:type="dxa"/>
            <w:vAlign w:val="bottom"/>
            <w:gridSpan w:val="5"/>
            <w:shd w:val="clear" w:color="auto" w:fill="CCEEFF"/>
          </w:tcPr>
          <w:p>
            <w:pPr>
              <w:jc w:val="right"/>
              <w:ind w:right="200"/>
              <w:spacing w:after="0"/>
              <w:rPr>
                <w:sz w:val="20"/>
                <w:szCs w:val="20"/>
                <w:color w:val="auto"/>
              </w:rPr>
            </w:pPr>
            <w:r>
              <w:rPr>
                <w:rFonts w:ascii="Arial" w:cs="Arial" w:eastAsia="Arial" w:hAnsi="Arial"/>
                <w:sz w:val="18"/>
                <w:szCs w:val="18"/>
                <w:color w:val="auto"/>
              </w:rPr>
              <w:t>89</w:t>
            </w:r>
          </w:p>
        </w:tc>
        <w:tc>
          <w:tcPr>
            <w:tcW w:w="1520" w:type="dxa"/>
            <w:vAlign w:val="bottom"/>
            <w:tcBorders>
              <w:right w:val="single" w:sz="8" w:color="CCEEFF"/>
            </w:tcBorders>
            <w:gridSpan w:val="2"/>
            <w:shd w:val="clear" w:color="auto" w:fill="CCEEFF"/>
          </w:tcPr>
          <w:p>
            <w:pPr>
              <w:ind w:left="1260"/>
              <w:spacing w:after="0"/>
              <w:rPr>
                <w:sz w:val="20"/>
                <w:szCs w:val="20"/>
                <w:color w:val="auto"/>
              </w:rPr>
            </w:pPr>
            <w:r>
              <w:rPr>
                <w:rFonts w:ascii="Arial" w:cs="Arial" w:eastAsia="Arial" w:hAnsi="Arial"/>
                <w:sz w:val="18"/>
                <w:szCs w:val="18"/>
                <w:color w:val="auto"/>
              </w:rPr>
              <w:t>-</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000" w:type="dxa"/>
            <w:vAlign w:val="bottom"/>
          </w:tcPr>
          <w:p>
            <w:pPr>
              <w:ind w:left="160"/>
              <w:spacing w:after="0"/>
              <w:rPr>
                <w:sz w:val="20"/>
                <w:szCs w:val="20"/>
                <w:color w:val="auto"/>
              </w:rPr>
            </w:pPr>
            <w:r>
              <w:rPr>
                <w:rFonts w:ascii="Arial" w:cs="Arial" w:eastAsia="Arial" w:hAnsi="Arial"/>
                <w:sz w:val="18"/>
                <w:szCs w:val="18"/>
                <w:color w:val="auto"/>
              </w:rPr>
              <w:t>Derivative financial instruments - hedging</w:t>
            </w:r>
          </w:p>
        </w:tc>
        <w:tc>
          <w:tcPr>
            <w:tcW w:w="1620" w:type="dxa"/>
            <w:vAlign w:val="bottom"/>
            <w:gridSpan w:val="5"/>
          </w:tcPr>
          <w:p>
            <w:pPr>
              <w:jc w:val="right"/>
              <w:ind w:right="200"/>
              <w:spacing w:after="0"/>
              <w:rPr>
                <w:sz w:val="20"/>
                <w:szCs w:val="20"/>
                <w:color w:val="auto"/>
              </w:rPr>
            </w:pPr>
            <w:r>
              <w:rPr>
                <w:rFonts w:ascii="Arial" w:cs="Arial" w:eastAsia="Arial" w:hAnsi="Arial"/>
                <w:sz w:val="18"/>
                <w:szCs w:val="18"/>
                <w:color w:val="auto"/>
              </w:rPr>
              <w:t>29,889</w:t>
            </w:r>
          </w:p>
        </w:tc>
        <w:tc>
          <w:tcPr>
            <w:tcW w:w="1520" w:type="dxa"/>
            <w:vAlign w:val="bottom"/>
            <w:gridSpan w:val="2"/>
          </w:tcPr>
          <w:p>
            <w:pPr>
              <w:ind w:left="126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00"/>
              <w:spacing w:after="0"/>
              <w:rPr>
                <w:sz w:val="20"/>
                <w:szCs w:val="20"/>
                <w:color w:val="auto"/>
              </w:rPr>
            </w:pPr>
            <w:r>
              <w:rPr>
                <w:rFonts w:ascii="Arial" w:cs="Arial" w:eastAsia="Arial" w:hAnsi="Arial"/>
                <w:sz w:val="18"/>
                <w:szCs w:val="18"/>
                <w:color w:val="auto"/>
              </w:rPr>
              <w:t>29,889</w:t>
            </w:r>
          </w:p>
        </w:tc>
        <w:tc>
          <w:tcPr>
            <w:tcW w:w="0" w:type="dxa"/>
            <w:vAlign w:val="bottom"/>
          </w:tcPr>
          <w:p>
            <w:pPr>
              <w:spacing w:after="0"/>
              <w:rPr>
                <w:sz w:val="1"/>
                <w:szCs w:val="1"/>
                <w:color w:val="auto"/>
              </w:rPr>
            </w:pPr>
          </w:p>
        </w:tc>
      </w:tr>
      <w:tr>
        <w:trPr>
          <w:trHeight w:val="223"/>
        </w:trPr>
        <w:tc>
          <w:tcPr>
            <w:tcW w:w="60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derivative financial instruments</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34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29,978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ind w:left="126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top w:val="single" w:sz="8" w:color="CCEEFF"/>
              <w:bottom w:val="single" w:sz="8" w:color="CCEEFF"/>
              <w:right w:val="single" w:sz="8" w:color="CCEEFF"/>
            </w:tcBorders>
            <w:shd w:val="clear" w:color="auto" w:fill="CCEEFF"/>
          </w:tcPr>
          <w:p>
            <w:pPr>
              <w:spacing w:after="0"/>
              <w:rPr>
                <w:sz w:val="19"/>
                <w:szCs w:val="19"/>
                <w:color w:val="auto"/>
              </w:rPr>
            </w:pP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29,978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0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41"/>
        </w:numPr>
        <w:rPr>
          <w:rFonts w:ascii="Arial" w:cs="Arial" w:eastAsia="Arial" w:hAnsi="Arial"/>
          <w:sz w:val="18"/>
          <w:szCs w:val="18"/>
          <w:b w:val="1"/>
          <w:bCs w:val="1"/>
          <w:color w:val="auto"/>
        </w:rPr>
      </w:pPr>
      <w:r>
        <w:rPr>
          <w:rFonts w:ascii="Arial" w:cs="Arial" w:eastAsia="Arial" w:hAnsi="Arial"/>
          <w:sz w:val="18"/>
          <w:szCs w:val="18"/>
          <w:b w:val="1"/>
          <w:bCs w:val="1"/>
          <w:color w:val="auto"/>
        </w:rPr>
        <w:t>Other assets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Following is a summary of other assets as of September 30, 2016 and December 31, 2015:</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500" w:type="dxa"/>
            <w:vAlign w:val="bottom"/>
          </w:tcPr>
          <w:p>
            <w:pPr>
              <w:spacing w:after="0"/>
              <w:rPr>
                <w:sz w:val="18"/>
                <w:szCs w:val="18"/>
                <w:color w:val="auto"/>
              </w:rPr>
            </w:pPr>
          </w:p>
        </w:tc>
        <w:tc>
          <w:tcPr>
            <w:tcW w:w="416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December 31,</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4160" w:type="dxa"/>
            <w:vAlign w:val="bottom"/>
          </w:tcPr>
          <w:p>
            <w:pPr>
              <w:spacing w:after="0"/>
              <w:rPr>
                <w:sz w:val="20"/>
                <w:szCs w:val="20"/>
                <w:color w:val="auto"/>
              </w:rPr>
            </w:pPr>
          </w:p>
        </w:tc>
        <w:tc>
          <w:tcPr>
            <w:tcW w:w="508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vMerge w:val="restart"/>
          </w:tcPr>
          <w:p>
            <w:pPr>
              <w:spacing w:after="0"/>
              <w:rPr>
                <w:sz w:val="18"/>
                <w:szCs w:val="18"/>
                <w:color w:val="auto"/>
              </w:rPr>
            </w:pPr>
          </w:p>
        </w:tc>
        <w:tc>
          <w:tcPr>
            <w:tcW w:w="4160" w:type="dxa"/>
            <w:vAlign w:val="bottom"/>
          </w:tcPr>
          <w:p>
            <w:pPr>
              <w:spacing w:after="0"/>
              <w:rPr>
                <w:sz w:val="18"/>
                <w:szCs w:val="18"/>
                <w:color w:val="auto"/>
              </w:rPr>
            </w:pPr>
          </w:p>
        </w:tc>
        <w:tc>
          <w:tcPr>
            <w:tcW w:w="388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52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10,733</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6,428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Equity investment in a private fund (at cost)</w:t>
            </w:r>
          </w:p>
        </w:tc>
        <w:tc>
          <w:tcPr>
            <w:tcW w:w="5280" w:type="dxa"/>
            <w:vAlign w:val="bottom"/>
            <w:gridSpan w:val="3"/>
          </w:tcPr>
          <w:p>
            <w:pPr>
              <w:jc w:val="right"/>
              <w:ind w:right="200"/>
              <w:spacing w:after="0"/>
              <w:rPr>
                <w:sz w:val="20"/>
                <w:szCs w:val="20"/>
                <w:color w:val="auto"/>
              </w:rPr>
            </w:pPr>
            <w:r>
              <w:rPr>
                <w:rFonts w:ascii="Arial" w:cs="Arial" w:eastAsia="Arial" w:hAnsi="Arial"/>
                <w:sz w:val="18"/>
                <w:szCs w:val="18"/>
                <w:color w:val="auto"/>
              </w:rPr>
              <w:t>530</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530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416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5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4,039</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4,952</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4160" w:type="dxa"/>
            <w:vAlign w:val="bottom"/>
          </w:tcPr>
          <w:p>
            <w:pPr>
              <w:spacing w:after="0"/>
              <w:rPr>
                <w:sz w:val="20"/>
                <w:szCs w:val="20"/>
                <w:color w:val="auto"/>
              </w:rPr>
            </w:pPr>
            <w:r>
              <w:rPr>
                <w:rFonts w:ascii="Arial" w:cs="Arial" w:eastAsia="Arial" w:hAnsi="Arial"/>
                <w:sz w:val="18"/>
                <w:szCs w:val="18"/>
                <w:color w:val="auto"/>
              </w:rPr>
              <w:t>Other</w:t>
            </w:r>
          </w:p>
        </w:tc>
        <w:tc>
          <w:tcPr>
            <w:tcW w:w="5080" w:type="dxa"/>
            <w:vAlign w:val="bottom"/>
            <w:gridSpan w:val="2"/>
          </w:tcPr>
          <w:p>
            <w:pPr>
              <w:jc w:val="right"/>
              <w:spacing w:after="0"/>
              <w:rPr>
                <w:sz w:val="20"/>
                <w:szCs w:val="20"/>
                <w:color w:val="auto"/>
              </w:rPr>
            </w:pPr>
            <w:r>
              <w:rPr>
                <w:rFonts w:ascii="Arial" w:cs="Arial" w:eastAsia="Arial" w:hAnsi="Arial"/>
                <w:sz w:val="18"/>
                <w:szCs w:val="18"/>
                <w:color w:val="auto"/>
              </w:rPr>
              <w:t>9,833</w:t>
            </w:r>
          </w:p>
        </w:tc>
        <w:tc>
          <w:tcPr>
            <w:tcW w:w="20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3,884</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4160" w:type="dxa"/>
            <w:vAlign w:val="bottom"/>
            <w:tcBorders>
              <w:top w:val="single" w:sz="8" w:color="CCEEFF"/>
              <w:bottom w:val="single" w:sz="8" w:color="CCEEFF"/>
            </w:tcBorders>
            <w:shd w:val="clear" w:color="auto" w:fill="CCEEFF"/>
          </w:tcPr>
          <w:p>
            <w:pPr>
              <w:spacing w:after="0"/>
              <w:rPr>
                <w:sz w:val="19"/>
                <w:szCs w:val="19"/>
                <w:color w:val="auto"/>
              </w:rPr>
            </w:pPr>
          </w:p>
        </w:tc>
        <w:tc>
          <w:tcPr>
            <w:tcW w:w="38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25,135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4160" w:type="dxa"/>
            <w:vAlign w:val="bottom"/>
          </w:tcPr>
          <w:p>
            <w:pPr>
              <w:spacing w:after="0" w:line="20" w:lineRule="exact"/>
              <w:rPr>
                <w:sz w:val="1"/>
                <w:szCs w:val="1"/>
                <w:color w:val="auto"/>
              </w:rPr>
            </w:pPr>
          </w:p>
        </w:tc>
        <w:tc>
          <w:tcPr>
            <w:tcW w:w="3880" w:type="dxa"/>
            <w:vAlign w:val="bottom"/>
            <w:vMerge w:val="restart"/>
          </w:tcPr>
          <w:p>
            <w:pPr>
              <w:jc w:val="right"/>
              <w:ind w:right="2610"/>
              <w:spacing w:after="0"/>
              <w:rPr>
                <w:sz w:val="20"/>
                <w:szCs w:val="20"/>
                <w:color w:val="auto"/>
              </w:rPr>
            </w:pPr>
            <w:r>
              <w:rPr>
                <w:rFonts w:ascii="Arial" w:cs="Arial" w:eastAsia="Arial" w:hAnsi="Arial"/>
                <w:sz w:val="18"/>
                <w:szCs w:val="18"/>
                <w:color w:val="auto"/>
              </w:rPr>
              <w:t>40</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4160" w:type="dxa"/>
            <w:vAlign w:val="bottom"/>
            <w:tcBorders>
              <w:bottom w:val="single" w:sz="8" w:color="auto"/>
            </w:tcBorders>
          </w:tcPr>
          <w:p>
            <w:pPr>
              <w:spacing w:after="0"/>
              <w:rPr>
                <w:sz w:val="24"/>
                <w:szCs w:val="24"/>
                <w:color w:val="auto"/>
              </w:rPr>
            </w:pPr>
          </w:p>
        </w:tc>
        <w:tc>
          <w:tcPr>
            <w:tcW w:w="388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2" w:name="page43"/>
    <w:bookmarkEnd w:id="4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6.</w:t>
            </w:r>
          </w:p>
        </w:tc>
        <w:tc>
          <w:tcPr>
            <w:tcW w:w="8220" w:type="dxa"/>
            <w:vAlign w:val="bottom"/>
            <w:gridSpan w:val="2"/>
          </w:tcPr>
          <w:p>
            <w:pPr>
              <w:ind w:left="180"/>
              <w:spacing w:after="0"/>
              <w:rPr>
                <w:sz w:val="20"/>
                <w:szCs w:val="20"/>
                <w:color w:val="auto"/>
              </w:rPr>
            </w:pPr>
            <w:r>
              <w:rPr>
                <w:rFonts w:ascii="Arial" w:cs="Arial" w:eastAsia="Arial" w:hAnsi="Arial"/>
                <w:sz w:val="18"/>
                <w:szCs w:val="18"/>
                <w:b w:val="1"/>
                <w:bCs w:val="1"/>
                <w:color w:val="auto"/>
              </w:rPr>
              <w:t>Deposits</w:t>
            </w: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20" w:type="dxa"/>
            <w:vAlign w:val="bottom"/>
          </w:tcPr>
          <w:p>
            <w:pPr>
              <w:spacing w:after="0"/>
              <w:rPr>
                <w:sz w:val="24"/>
                <w:szCs w:val="24"/>
                <w:color w:val="auto"/>
              </w:rPr>
            </w:pPr>
          </w:p>
        </w:tc>
        <w:tc>
          <w:tcPr>
            <w:tcW w:w="8220" w:type="dxa"/>
            <w:vAlign w:val="bottom"/>
            <w:gridSpan w:val="2"/>
          </w:tcPr>
          <w:p>
            <w:pPr>
              <w:ind w:left="180"/>
              <w:spacing w:after="0"/>
              <w:rPr>
                <w:sz w:val="20"/>
                <w:szCs w:val="20"/>
                <w:color w:val="auto"/>
              </w:rPr>
            </w:pPr>
            <w:r>
              <w:rPr>
                <w:rFonts w:ascii="Arial" w:cs="Arial" w:eastAsia="Arial" w:hAnsi="Arial"/>
                <w:sz w:val="18"/>
                <w:szCs w:val="18"/>
                <w:color w:val="auto"/>
              </w:rPr>
              <w:t>The remaining maturity profile of the Bank’s deposits is as follows:</w:t>
            </w: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40" w:type="dxa"/>
            <w:vAlign w:val="bottom"/>
          </w:tcPr>
          <w:p>
            <w:pPr>
              <w:spacing w:after="0"/>
              <w:rPr>
                <w:sz w:val="24"/>
                <w:szCs w:val="24"/>
                <w:color w:val="auto"/>
              </w:rPr>
            </w:pPr>
          </w:p>
        </w:tc>
        <w:tc>
          <w:tcPr>
            <w:tcW w:w="14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4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252,536</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243,839</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Up to 1 month</w:t>
            </w:r>
          </w:p>
        </w:tc>
        <w:tc>
          <w:tcPr>
            <w:tcW w:w="1200" w:type="dxa"/>
            <w:vAlign w:val="bottom"/>
          </w:tcPr>
          <w:p>
            <w:pPr>
              <w:jc w:val="right"/>
              <w:spacing w:after="0"/>
              <w:rPr>
                <w:sz w:val="20"/>
                <w:szCs w:val="20"/>
                <w:color w:val="auto"/>
              </w:rPr>
            </w:pPr>
            <w:r>
              <w:rPr>
                <w:rFonts w:ascii="Arial" w:cs="Arial" w:eastAsia="Arial" w:hAnsi="Arial"/>
                <w:sz w:val="18"/>
                <w:szCs w:val="18"/>
                <w:color w:val="auto"/>
              </w:rPr>
              <w:t>1,173,812</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1,492,175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727,737</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475,611</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From 3 month to 6 months</w:t>
            </w:r>
          </w:p>
        </w:tc>
        <w:tc>
          <w:tcPr>
            <w:tcW w:w="1200" w:type="dxa"/>
            <w:vAlign w:val="bottom"/>
          </w:tcPr>
          <w:p>
            <w:pPr>
              <w:jc w:val="right"/>
              <w:spacing w:after="0"/>
              <w:rPr>
                <w:sz w:val="20"/>
                <w:szCs w:val="20"/>
                <w:color w:val="auto"/>
              </w:rPr>
            </w:pPr>
            <w:r>
              <w:rPr>
                <w:rFonts w:ascii="Arial" w:cs="Arial" w:eastAsia="Arial" w:hAnsi="Arial"/>
                <w:sz w:val="18"/>
                <w:szCs w:val="18"/>
                <w:color w:val="auto"/>
              </w:rPr>
              <w:t>272,549</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319,995</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From 6 month to 1 year</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458,804</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263,849</w:t>
            </w: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4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200" w:type="dxa"/>
            <w:vAlign w:val="bottom"/>
          </w:tcPr>
          <w:p>
            <w:pPr>
              <w:jc w:val="right"/>
              <w:spacing w:after="0"/>
              <w:rPr>
                <w:sz w:val="20"/>
                <w:szCs w:val="20"/>
                <w:color w:val="auto"/>
              </w:rPr>
            </w:pPr>
            <w:r>
              <w:rPr>
                <w:rFonts w:ascii="Arial" w:cs="Arial" w:eastAsia="Arial" w:hAnsi="Arial"/>
                <w:sz w:val="18"/>
                <w:szCs w:val="18"/>
                <w:color w:val="auto"/>
              </w:rPr>
              <w:t>190,000</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040" w:type="dxa"/>
            <w:vAlign w:val="bottom"/>
            <w:shd w:val="clear" w:color="auto" w:fill="CCEEFF"/>
          </w:tcPr>
          <w:p>
            <w:pPr>
              <w:spacing w:after="0"/>
              <w:rPr>
                <w:sz w:val="20"/>
                <w:szCs w:val="20"/>
                <w:color w:val="auto"/>
              </w:rPr>
            </w:pPr>
            <w:r>
              <w:rPr>
                <w:rFonts w:ascii="Arial" w:cs="Arial" w:eastAsia="Arial" w:hAnsi="Arial"/>
                <w:sz w:val="18"/>
                <w:szCs w:val="18"/>
                <w:color w:val="auto"/>
              </w:rPr>
              <w:t>From 2 years to 5 years</w:t>
            </w: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50,567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04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3,126,005</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2,795,469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8220" w:type="dxa"/>
            <w:vAlign w:val="bottom"/>
            <w:gridSpan w:val="2"/>
            <w:vMerge w:val="restart"/>
          </w:tcPr>
          <w:p>
            <w:pPr>
              <w:ind w:left="180"/>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20" w:type="dxa"/>
            <w:vAlign w:val="bottom"/>
          </w:tcPr>
          <w:p>
            <w:pPr>
              <w:spacing w:after="0"/>
              <w:rPr>
                <w:sz w:val="24"/>
                <w:szCs w:val="24"/>
                <w:color w:val="auto"/>
              </w:rPr>
            </w:pPr>
          </w:p>
        </w:tc>
        <w:tc>
          <w:tcPr>
            <w:tcW w:w="8220" w:type="dxa"/>
            <w:vAlign w:val="bottom"/>
            <w:gridSpan w:val="2"/>
            <w:vMerge w:val="continue"/>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8040" w:type="dxa"/>
            <w:vAlign w:val="bottom"/>
          </w:tcPr>
          <w:p>
            <w:pPr>
              <w:spacing w:after="0"/>
              <w:rPr>
                <w:sz w:val="24"/>
                <w:szCs w:val="2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128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4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2016</w:t>
            </w:r>
          </w:p>
        </w:tc>
        <w:tc>
          <w:tcPr>
            <w:tcW w:w="2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80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3,125,644</w:t>
            </w:r>
          </w:p>
        </w:tc>
        <w:tc>
          <w:tcPr>
            <w:tcW w:w="20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2,794,912</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4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40" w:type="dxa"/>
            <w:vAlign w:val="bottom"/>
            <w:tcBorders>
              <w:bottom w:val="single" w:sz="8" w:color="CCEEFF"/>
            </w:tcBorders>
            <w:vMerge w:val="continue"/>
          </w:tcPr>
          <w:p>
            <w:pPr>
              <w:spacing w:after="0"/>
              <w:rPr>
                <w:sz w:val="20"/>
                <w:szCs w:val="20"/>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259,301</w:t>
            </w:r>
          </w:p>
        </w:tc>
        <w:tc>
          <w:tcPr>
            <w:tcW w:w="2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235,203</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Interest expense paid to deposits in the New York Agency</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1,429</w:t>
            </w:r>
          </w:p>
        </w:tc>
        <w:tc>
          <w:tcPr>
            <w:tcW w:w="20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1,228</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4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Bank’s financing transactions under repurchase agreements amounted to $101.4 million and $114.4 million, as of September 30, 2016 and December 31, 2015, respectively.</w:t>
      </w:r>
    </w:p>
    <w:p>
      <w:pPr>
        <w:spacing w:after="0" w:line="170" w:lineRule="exact"/>
        <w:rPr>
          <w:rFonts w:ascii="Arial" w:cs="Arial" w:eastAsia="Arial" w:hAnsi="Arial"/>
          <w:sz w:val="18"/>
          <w:szCs w:val="18"/>
          <w:b w:val="1"/>
          <w:bCs w:val="1"/>
          <w:color w:val="auto"/>
        </w:rPr>
      </w:pPr>
    </w:p>
    <w:p>
      <w:pPr>
        <w:jc w:val="both"/>
        <w:ind w:left="5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During the periods ended September 30, 2016 and 2015, interest expense related to financing transactions under repurchase agreements totaled $835.2 and $176.0, respectively, corresponding to interest expense generated by the financing contracts under repurchase agreements. These expenses are included in the interest expense – short-term borrowings and debt line in the consolidated statements of profit or loss.</w:t>
      </w:r>
    </w:p>
    <w:p>
      <w:pPr>
        <w:spacing w:after="0" w:line="382"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3" w:name="page44"/>
    <w:bookmarkEnd w:id="4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43"/>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8.1   Short-term borrowings and debt</w:t>
      </w:r>
    </w:p>
    <w:p>
      <w:pPr>
        <w:spacing w:after="0" w:line="229" w:lineRule="exact"/>
        <w:rPr>
          <w:rFonts w:ascii="Arial" w:cs="Arial" w:eastAsia="Arial" w:hAnsi="Arial"/>
          <w:sz w:val="18"/>
          <w:szCs w:val="18"/>
          <w:b w:val="1"/>
          <w:bCs w:val="1"/>
          <w:color w:val="auto"/>
        </w:rPr>
      </w:pPr>
    </w:p>
    <w:p>
      <w:pPr>
        <w:jc w:val="both"/>
        <w:ind w:left="5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Borrowings consist of long-term and syndicated loans obtained from international banks. Debt instruments consist of public and private issuances under the Bank's Euro Medium Term Notes Program (“EMTN”) as well as public issuances in the Mexican market. The breakdown of short-term (original maturity of less than one year) borrowings and debt, together with contractual interest rates, is as follows:</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500"/>
        <w:spacing w:after="0"/>
        <w:rPr>
          <w:sz w:val="20"/>
          <w:szCs w:val="20"/>
          <w:color w:val="auto"/>
        </w:rPr>
      </w:pPr>
      <w:r>
        <w:rPr>
          <w:rFonts w:ascii="Arial" w:cs="Arial" w:eastAsia="Arial" w:hAnsi="Arial"/>
          <w:sz w:val="16"/>
          <w:szCs w:val="16"/>
          <w:b w:val="1"/>
          <w:bCs w:val="1"/>
          <w:color w:val="auto"/>
        </w:rPr>
        <w:t>Short-term Borrowings:</w:t>
      </w:r>
    </w:p>
    <w:p>
      <w:pPr>
        <w:spacing w:after="0" w:line="5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At fixed interest rates</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7"/>
          <w:szCs w:val="17"/>
          <w:color w:val="auto"/>
        </w:rPr>
        <w:t>At floating interest rates</w:t>
      </w:r>
    </w:p>
    <w:p>
      <w:pPr>
        <w:spacing w:after="0" w:line="2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 borrowings</w:t>
      </w:r>
    </w:p>
    <w:p>
      <w:pPr>
        <w:spacing w:after="0" w:line="20" w:lineRule="exact"/>
        <w:rPr>
          <w:sz w:val="20"/>
          <w:szCs w:val="20"/>
          <w:color w:val="auto"/>
        </w:rPr>
      </w:pPr>
      <w:r>
        <w:rPr>
          <w:sz w:val="20"/>
          <w:szCs w:val="20"/>
          <w:color w:val="auto"/>
        </w:rPr>
        <w:br w:type="column"/>
      </w:r>
    </w:p>
    <w:p>
      <w:pPr>
        <w:spacing w:after="0" w:line="14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60" w:type="dxa"/>
            <w:vAlign w:val="bottom"/>
            <w:gridSpan w:val="2"/>
          </w:tcPr>
          <w:p>
            <w:pPr>
              <w:ind w:left="280"/>
              <w:spacing w:after="0"/>
              <w:rPr>
                <w:sz w:val="20"/>
                <w:szCs w:val="20"/>
                <w:color w:val="auto"/>
              </w:rPr>
            </w:pPr>
            <w:r>
              <w:rPr>
                <w:rFonts w:ascii="Arial" w:cs="Arial" w:eastAsia="Arial" w:hAnsi="Arial"/>
                <w:sz w:val="18"/>
                <w:szCs w:val="18"/>
                <w:b w:val="1"/>
                <w:bCs w:val="1"/>
                <w:color w:val="auto"/>
              </w:rPr>
              <w:t>September 30,</w:t>
            </w:r>
          </w:p>
        </w:tc>
        <w:tc>
          <w:tcPr>
            <w:tcW w:w="170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r>
      <w:tr>
        <w:trPr>
          <w:trHeight w:val="425"/>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636,595</w:t>
            </w:r>
          </w:p>
        </w:tc>
        <w:tc>
          <w:tcPr>
            <w:tcW w:w="1700" w:type="dxa"/>
            <w:vAlign w:val="bottom"/>
          </w:tcPr>
          <w:p>
            <w:pPr>
              <w:jc w:val="right"/>
              <w:spacing w:after="0"/>
              <w:rPr>
                <w:sz w:val="20"/>
                <w:szCs w:val="20"/>
                <w:color w:val="auto"/>
              </w:rPr>
            </w:pPr>
            <w:r>
              <w:rPr>
                <w:rFonts w:ascii="Arial" w:cs="Arial" w:eastAsia="Arial" w:hAnsi="Arial"/>
                <w:sz w:val="18"/>
                <w:szCs w:val="18"/>
                <w:color w:val="auto"/>
              </w:rPr>
              <w:t>983,245</w:t>
            </w:r>
          </w:p>
        </w:tc>
      </w:tr>
      <w:tr>
        <w:trPr>
          <w:trHeight w:val="230"/>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413,093</w:t>
            </w:r>
          </w:p>
        </w:tc>
        <w:tc>
          <w:tcPr>
            <w:tcW w:w="1700" w:type="dxa"/>
            <w:vAlign w:val="bottom"/>
          </w:tcPr>
          <w:p>
            <w:pPr>
              <w:jc w:val="right"/>
              <w:spacing w:after="0"/>
              <w:rPr>
                <w:sz w:val="20"/>
                <w:szCs w:val="20"/>
                <w:color w:val="auto"/>
              </w:rPr>
            </w:pPr>
            <w:r>
              <w:rPr>
                <w:rFonts w:ascii="Arial" w:cs="Arial" w:eastAsia="Arial" w:hAnsi="Arial"/>
                <w:sz w:val="18"/>
                <w:szCs w:val="18"/>
                <w:color w:val="auto"/>
              </w:rPr>
              <w:t>871,522</w:t>
            </w:r>
          </w:p>
        </w:tc>
      </w:tr>
      <w:tr>
        <w:trPr>
          <w:trHeight w:val="210"/>
        </w:trPr>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1,049,688</w:t>
            </w:r>
          </w:p>
        </w:tc>
        <w:tc>
          <w:tcPr>
            <w:tcW w:w="26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1,854,767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-4384675</wp:posOffset>
            </wp:positionH>
            <wp:positionV relativeFrom="paragraph">
              <wp:posOffset>-582295</wp:posOffset>
            </wp:positionV>
            <wp:extent cx="6809105" cy="1460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-4384675</wp:posOffset>
            </wp:positionH>
            <wp:positionV relativeFrom="paragraph">
              <wp:posOffset>-299720</wp:posOffset>
            </wp:positionV>
            <wp:extent cx="6809105" cy="1460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6680" w:space="720"/>
            <w:col w:w="4020"/>
          </w:cols>
          <w:pgMar w:left="240" w:top="905" w:right="2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500" w:type="dxa"/>
            <w:vAlign w:val="bottom"/>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400" w:type="dxa"/>
            <w:vAlign w:val="bottom"/>
            <w:gridSpan w:val="2"/>
          </w:tcPr>
          <w:p>
            <w:pPr>
              <w:ind w:left="500"/>
              <w:spacing w:after="0"/>
              <w:rPr>
                <w:sz w:val="20"/>
                <w:szCs w:val="20"/>
                <w:color w:val="auto"/>
              </w:rPr>
            </w:pPr>
            <w:r>
              <w:rPr>
                <w:rFonts w:ascii="Arial" w:cs="Arial" w:eastAsia="Arial" w:hAnsi="Arial"/>
                <w:sz w:val="18"/>
                <w:szCs w:val="18"/>
                <w:b w:val="1"/>
                <w:bCs w:val="1"/>
                <w:color w:val="auto"/>
              </w:rPr>
              <w:t>Short-term Debt:</w:t>
            </w:r>
          </w:p>
        </w:tc>
        <w:tc>
          <w:tcPr>
            <w:tcW w:w="114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w:t>
            </w:r>
          </w:p>
        </w:tc>
        <w:tc>
          <w:tcPr>
            <w:tcW w:w="1960" w:type="dxa"/>
            <w:vAlign w:val="bottom"/>
            <w:gridSpan w:val="3"/>
            <w:shd w:val="clear" w:color="auto" w:fill="CCEEFF"/>
          </w:tcPr>
          <w:p>
            <w:pPr>
              <w:jc w:val="right"/>
              <w:ind w:right="170"/>
              <w:spacing w:after="0"/>
              <w:rPr>
                <w:sz w:val="20"/>
                <w:szCs w:val="20"/>
                <w:color w:val="auto"/>
              </w:rPr>
            </w:pPr>
            <w:r>
              <w:rPr>
                <w:rFonts w:ascii="Arial" w:cs="Arial" w:eastAsia="Arial" w:hAnsi="Arial"/>
                <w:sz w:val="18"/>
                <w:szCs w:val="18"/>
                <w:color w:val="auto"/>
              </w:rPr>
              <w:t>82,800</w:t>
            </w:r>
          </w:p>
        </w:tc>
        <w:tc>
          <w:tcPr>
            <w:tcW w:w="380" w:type="dxa"/>
            <w:vAlign w:val="bottom"/>
            <w:shd w:val="clear" w:color="auto" w:fill="CCEEFF"/>
          </w:tcPr>
          <w:p>
            <w:pPr>
              <w:spacing w:after="0"/>
              <w:rPr>
                <w:sz w:val="18"/>
                <w:szCs w:val="18"/>
                <w:color w:val="auto"/>
              </w:rPr>
            </w:pP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525,590</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At floating interest rates</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50,000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debt</w:t>
            </w:r>
          </w:p>
        </w:tc>
        <w:tc>
          <w:tcPr>
            <w:tcW w:w="17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82,800</w:t>
            </w:r>
          </w:p>
        </w:tc>
        <w:tc>
          <w:tcPr>
            <w:tcW w:w="260" w:type="dxa"/>
            <w:vAlign w:val="bottom"/>
            <w:tcBorders>
              <w:top w:val="single" w:sz="8" w:color="CCEEFF"/>
            </w:tcBorders>
            <w:shd w:val="clear" w:color="auto" w:fill="CCEEFF"/>
          </w:tcPr>
          <w:p>
            <w:pPr>
              <w:spacing w:after="0"/>
              <w:rPr>
                <w:sz w:val="18"/>
                <w:szCs w:val="18"/>
                <w:color w:val="auto"/>
              </w:rPr>
            </w:pPr>
          </w:p>
        </w:tc>
        <w:tc>
          <w:tcPr>
            <w:tcW w:w="380" w:type="dxa"/>
            <w:vAlign w:val="bottom"/>
            <w:tcBorders>
              <w:top w:val="single" w:sz="8" w:color="auto"/>
              <w:bottom w:val="single" w:sz="8" w:color="auto"/>
            </w:tcBorders>
            <w:shd w:val="clear" w:color="auto" w:fill="CCEEFF"/>
          </w:tcPr>
          <w:p>
            <w:pPr>
              <w:spacing w:after="0"/>
              <w:rPr>
                <w:sz w:val="18"/>
                <w:szCs w:val="18"/>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575,590</w:t>
            </w: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500" w:type="dxa"/>
            <w:vAlign w:val="bottom"/>
          </w:tcPr>
          <w:p>
            <w:pPr>
              <w:spacing w:after="0"/>
              <w:rPr>
                <w:sz w:val="22"/>
                <w:szCs w:val="22"/>
                <w:color w:val="auto"/>
              </w:rPr>
            </w:pPr>
          </w:p>
        </w:tc>
        <w:tc>
          <w:tcPr>
            <w:tcW w:w="6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short-term borrowings and debt</w:t>
            </w:r>
          </w:p>
        </w:tc>
        <w:tc>
          <w:tcPr>
            <w:tcW w:w="17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1,132,488</w:t>
            </w:r>
          </w:p>
        </w:tc>
        <w:tc>
          <w:tcPr>
            <w:tcW w:w="260" w:type="dxa"/>
            <w:vAlign w:val="bottom"/>
            <w:tcBorders>
              <w:bottom w:val="single" w:sz="8" w:color="CCEEFF"/>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2,430,357</w:t>
            </w:r>
          </w:p>
        </w:tc>
        <w:tc>
          <w:tcPr>
            <w:tcW w:w="60" w:type="dxa"/>
            <w:vAlign w:val="bottom"/>
            <w:tcBorders>
              <w:bottom w:val="single" w:sz="8" w:color="CCEEFF"/>
            </w:tcBorders>
          </w:tcPr>
          <w:p>
            <w:pPr>
              <w:spacing w:after="0"/>
              <w:rPr>
                <w:sz w:val="22"/>
                <w:szCs w:val="22"/>
                <w:color w:val="auto"/>
              </w:rPr>
            </w:pPr>
          </w:p>
        </w:tc>
        <w:tc>
          <w:tcPr>
            <w:tcW w:w="100" w:type="dxa"/>
            <w:vAlign w:val="bottom"/>
            <w:tcBorders>
              <w:bottom w:val="single" w:sz="8" w:color="CCEEFF"/>
            </w:tcBorders>
          </w:tcPr>
          <w:p>
            <w:pPr>
              <w:spacing w:after="0"/>
              <w:rPr>
                <w:sz w:val="22"/>
                <w:szCs w:val="22"/>
                <w:color w:val="auto"/>
              </w:rPr>
            </w:pP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500" w:type="dxa"/>
            <w:vAlign w:val="bottom"/>
            <w:vMerge w:val="continue"/>
          </w:tcPr>
          <w:p>
            <w:pPr>
              <w:spacing w:after="0"/>
              <w:rPr>
                <w:sz w:val="24"/>
                <w:szCs w:val="24"/>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Average outstanding balance during the period</w:t>
            </w:r>
          </w:p>
        </w:tc>
        <w:tc>
          <w:tcPr>
            <w:tcW w:w="1700" w:type="dxa"/>
            <w:vAlign w:val="bottom"/>
            <w:gridSpan w:val="2"/>
          </w:tcPr>
          <w:p>
            <w:pPr>
              <w:jc w:val="right"/>
              <w:spacing w:after="0"/>
              <w:rPr>
                <w:sz w:val="20"/>
                <w:szCs w:val="20"/>
                <w:color w:val="auto"/>
              </w:rPr>
            </w:pPr>
            <w:r>
              <w:rPr>
                <w:rFonts w:ascii="Arial" w:cs="Arial" w:eastAsia="Arial" w:hAnsi="Arial"/>
                <w:sz w:val="18"/>
                <w:szCs w:val="18"/>
                <w:color w:val="auto"/>
              </w:rPr>
              <w:t>1,366,873</w:t>
            </w:r>
          </w:p>
        </w:tc>
        <w:tc>
          <w:tcPr>
            <w:tcW w:w="2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2,266,864</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Maximum balance at any month-end</w:t>
            </w:r>
          </w:p>
        </w:tc>
        <w:tc>
          <w:tcPr>
            <w:tcW w:w="1700" w:type="dxa"/>
            <w:vAlign w:val="bottom"/>
            <w:tcBorders>
              <w:top w:val="single" w:sz="8" w:color="auto"/>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1,876,322</w:t>
            </w:r>
          </w:p>
        </w:tc>
        <w:tc>
          <w:tcPr>
            <w:tcW w:w="260" w:type="dxa"/>
            <w:vAlign w:val="bottom"/>
            <w:tcBorders>
              <w:top w:val="single" w:sz="8" w:color="CCEEFF"/>
              <w:bottom w:val="single" w:sz="8" w:color="CCEEFF"/>
            </w:tcBorders>
            <w:shd w:val="clear" w:color="auto" w:fill="CCEEFF"/>
          </w:tcPr>
          <w:p>
            <w:pPr>
              <w:spacing w:after="0"/>
              <w:rPr>
                <w:sz w:val="17"/>
                <w:szCs w:val="17"/>
                <w:color w:val="auto"/>
              </w:rPr>
            </w:pPr>
          </w:p>
        </w:tc>
        <w:tc>
          <w:tcPr>
            <w:tcW w:w="380" w:type="dxa"/>
            <w:vAlign w:val="bottom"/>
            <w:tcBorders>
              <w:top w:val="single" w:sz="8" w:color="auto"/>
              <w:bottom w:val="single" w:sz="8" w:color="auto"/>
            </w:tcBorders>
            <w:shd w:val="clear" w:color="auto" w:fill="CCEEFF"/>
          </w:tcPr>
          <w:p>
            <w:pPr>
              <w:spacing w:after="0"/>
              <w:rPr>
                <w:sz w:val="17"/>
                <w:szCs w:val="17"/>
                <w:color w:val="auto"/>
              </w:rPr>
            </w:pPr>
          </w:p>
        </w:tc>
        <w:tc>
          <w:tcPr>
            <w:tcW w:w="1320" w:type="dxa"/>
            <w:vAlign w:val="bottom"/>
            <w:tcBorders>
              <w:top w:val="single" w:sz="8" w:color="auto"/>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2,856,507</w:t>
            </w:r>
          </w:p>
        </w:tc>
        <w:tc>
          <w:tcPr>
            <w:tcW w:w="60" w:type="dxa"/>
            <w:vAlign w:val="bottom"/>
            <w:tcBorders>
              <w:top w:val="single" w:sz="8" w:color="CCEEFF"/>
              <w:bottom w:val="single" w:sz="8" w:color="CCEEFF"/>
            </w:tcBorders>
            <w:shd w:val="clear" w:color="auto" w:fill="CCEEFF"/>
          </w:tcPr>
          <w:p>
            <w:pPr>
              <w:spacing w:after="0"/>
              <w:rPr>
                <w:sz w:val="17"/>
                <w:szCs w:val="17"/>
                <w:color w:val="auto"/>
              </w:rPr>
            </w:pP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and debt in U.S. dollars</w:t>
            </w:r>
          </w:p>
        </w:tc>
        <w:tc>
          <w:tcPr>
            <w:tcW w:w="1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0.95% to 1.38%</w:t>
            </w:r>
          </w:p>
        </w:tc>
        <w:tc>
          <w:tcPr>
            <w:tcW w:w="260" w:type="dxa"/>
            <w:vAlign w:val="bottom"/>
            <w:tcBorders>
              <w:bottom w:val="single" w:sz="8" w:color="CCEEFF"/>
            </w:tcBorders>
            <w:vMerge w:val="continue"/>
          </w:tcPr>
          <w:p>
            <w:pPr>
              <w:spacing w:after="0"/>
              <w:rPr>
                <w:sz w:val="20"/>
                <w:szCs w:val="20"/>
                <w:color w:val="auto"/>
              </w:rPr>
            </w:pPr>
          </w:p>
        </w:tc>
        <w:tc>
          <w:tcPr>
            <w:tcW w:w="38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0.53% to 1.21%</w:t>
            </w:r>
          </w:p>
        </w:tc>
        <w:tc>
          <w:tcPr>
            <w:tcW w:w="6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 in U.S. dollars</w:t>
            </w:r>
          </w:p>
        </w:tc>
        <w:tc>
          <w:tcPr>
            <w:tcW w:w="170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0.97% to 1.29%</w:t>
            </w:r>
          </w:p>
        </w:tc>
        <w:tc>
          <w:tcPr>
            <w:tcW w:w="260" w:type="dxa"/>
            <w:vAlign w:val="bottom"/>
            <w:tcBorders>
              <w:bottom w:val="single" w:sz="8" w:color="CCEEFF"/>
            </w:tcBorders>
            <w:shd w:val="clear" w:color="auto" w:fill="CCEEFF"/>
          </w:tcPr>
          <w:p>
            <w:pPr>
              <w:spacing w:after="0"/>
              <w:rPr>
                <w:sz w:val="17"/>
                <w:szCs w:val="17"/>
                <w:color w:val="auto"/>
              </w:rPr>
            </w:pPr>
          </w:p>
        </w:tc>
        <w:tc>
          <w:tcPr>
            <w:tcW w:w="380" w:type="dxa"/>
            <w:vAlign w:val="bottom"/>
            <w:tcBorders>
              <w:bottom w:val="single" w:sz="8" w:color="auto"/>
            </w:tcBorders>
            <w:shd w:val="clear" w:color="auto" w:fill="CCEEFF"/>
          </w:tcPr>
          <w:p>
            <w:pPr>
              <w:spacing w:after="0"/>
              <w:rPr>
                <w:sz w:val="17"/>
                <w:szCs w:val="17"/>
                <w:color w:val="auto"/>
              </w:rPr>
            </w:pPr>
          </w:p>
        </w:tc>
        <w:tc>
          <w:tcPr>
            <w:tcW w:w="13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0.67% to 1.24%</w:t>
            </w:r>
          </w:p>
        </w:tc>
        <w:tc>
          <w:tcPr>
            <w:tcW w:w="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in Mexican pesos</w:t>
            </w:r>
          </w:p>
        </w:tc>
        <w:tc>
          <w:tcPr>
            <w:tcW w:w="1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6.16</w:t>
            </w:r>
          </w:p>
        </w:tc>
        <w:tc>
          <w:tcPr>
            <w:tcW w:w="260" w:type="dxa"/>
            <w:vAlign w:val="bottom"/>
            <w:tcBorders>
              <w:bottom w:val="single" w:sz="8" w:color="CCEEFF"/>
            </w:tcBorders>
            <w:vMerge w:val="continue"/>
          </w:tcPr>
          <w:p>
            <w:pPr>
              <w:spacing w:after="0"/>
              <w:rPr>
                <w:sz w:val="20"/>
                <w:szCs w:val="20"/>
                <w:color w:val="auto"/>
              </w:rPr>
            </w:pPr>
          </w:p>
        </w:tc>
        <w:tc>
          <w:tcPr>
            <w:tcW w:w="38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3.76% to 3.98%</w:t>
            </w:r>
          </w:p>
        </w:tc>
        <w:tc>
          <w:tcPr>
            <w:tcW w:w="6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 on borrowing in Mexican pesos</w:t>
            </w:r>
          </w:p>
        </w:tc>
        <w:tc>
          <w:tcPr>
            <w:tcW w:w="170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5.20</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380" w:type="dxa"/>
            <w:vAlign w:val="bottom"/>
            <w:tcBorders>
              <w:bottom w:val="single" w:sz="8" w:color="auto"/>
            </w:tcBorders>
            <w:shd w:val="clear" w:color="auto" w:fill="CCEEFF"/>
          </w:tcPr>
          <w:p>
            <w:pPr>
              <w:spacing w:after="0"/>
              <w:rPr>
                <w:sz w:val="17"/>
                <w:szCs w:val="17"/>
                <w:color w:val="auto"/>
              </w:rPr>
            </w:pPr>
          </w:p>
        </w:tc>
        <w:tc>
          <w:tcPr>
            <w:tcW w:w="13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3.90% to 4.17%</w:t>
            </w:r>
          </w:p>
        </w:tc>
        <w:tc>
          <w:tcPr>
            <w:tcW w:w="60" w:type="dxa"/>
            <w:vAlign w:val="bottom"/>
            <w:tcBorders>
              <w:bottom w:val="single" w:sz="8" w:color="CCEEFF"/>
            </w:tcBorders>
            <w:shd w:val="clear" w:color="auto" w:fill="CCEEFF"/>
          </w:tcPr>
          <w:p>
            <w:pPr>
              <w:spacing w:after="0"/>
              <w:rPr>
                <w:sz w:val="17"/>
                <w:szCs w:val="17"/>
                <w:color w:val="auto"/>
              </w:rPr>
            </w:pPr>
          </w:p>
        </w:tc>
        <w:tc>
          <w:tcPr>
            <w:tcW w:w="10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Japanese yens</w:t>
            </w:r>
          </w:p>
        </w:tc>
        <w:tc>
          <w:tcPr>
            <w:tcW w:w="1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vMerge w:val="restart"/>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w:t>
            </w:r>
          </w:p>
        </w:tc>
        <w:tc>
          <w:tcPr>
            <w:tcW w:w="260" w:type="dxa"/>
            <w:vAlign w:val="bottom"/>
            <w:tcBorders>
              <w:bottom w:val="single" w:sz="8" w:color="CCEEFF"/>
            </w:tcBorders>
          </w:tcPr>
          <w:p>
            <w:pPr>
              <w:spacing w:after="0"/>
              <w:rPr>
                <w:sz w:val="20"/>
                <w:szCs w:val="20"/>
                <w:color w:val="auto"/>
              </w:rPr>
            </w:pPr>
          </w:p>
        </w:tc>
        <w:tc>
          <w:tcPr>
            <w:tcW w:w="38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0.31% to 0.33%</w:t>
            </w:r>
          </w:p>
        </w:tc>
        <w:tc>
          <w:tcPr>
            <w:tcW w:w="60" w:type="dxa"/>
            <w:vAlign w:val="bottom"/>
            <w:tcBorders>
              <w:bottom w:val="single" w:sz="8" w:color="CCEEFF"/>
            </w:tcBorders>
            <w:vMerge w:val="continue"/>
          </w:tcPr>
          <w:p>
            <w:pPr>
              <w:spacing w:after="0"/>
              <w:rPr>
                <w:sz w:val="20"/>
                <w:szCs w:val="20"/>
                <w:color w:val="auto"/>
              </w:rPr>
            </w:pPr>
          </w:p>
        </w:tc>
        <w:tc>
          <w:tcPr>
            <w:tcW w:w="10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170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1.18</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380" w:type="dxa"/>
            <w:vAlign w:val="bottom"/>
            <w:tcBorders>
              <w:bottom w:val="single" w:sz="8" w:color="auto"/>
            </w:tcBorders>
            <w:shd w:val="clear" w:color="auto" w:fill="CCEEFF"/>
          </w:tcPr>
          <w:p>
            <w:pPr>
              <w:spacing w:after="0"/>
              <w:rPr>
                <w:sz w:val="17"/>
                <w:szCs w:val="17"/>
                <w:color w:val="auto"/>
              </w:rPr>
            </w:pPr>
          </w:p>
        </w:tc>
        <w:tc>
          <w:tcPr>
            <w:tcW w:w="132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0.93</w:t>
            </w:r>
          </w:p>
        </w:tc>
        <w:tc>
          <w:tcPr>
            <w:tcW w:w="160" w:type="dxa"/>
            <w:vAlign w:val="bottom"/>
            <w:tcBorders>
              <w:bottom w:val="single" w:sz="8" w:color="CCEEFF"/>
            </w:tcBorders>
            <w:gridSpan w:val="2"/>
            <w:shd w:val="clear" w:color="auto" w:fill="CCEEFF"/>
          </w:tcPr>
          <w:p>
            <w:pPr>
              <w:jc w:val="right"/>
              <w:ind w:right="20"/>
              <w:spacing w:after="0" w:line="190" w:lineRule="exact"/>
              <w:rPr>
                <w:sz w:val="20"/>
                <w:szCs w:val="20"/>
                <w:color w:val="auto"/>
              </w:rPr>
            </w:pPr>
            <w:r>
              <w:rPr>
                <w:rFonts w:ascii="Arial" w:cs="Arial" w:eastAsia="Arial" w:hAnsi="Arial"/>
                <w:sz w:val="18"/>
                <w:szCs w:val="18"/>
                <w:color w:val="auto"/>
                <w:w w:val="74"/>
              </w:rPr>
              <w:t>%</w:t>
            </w: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1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60" w:type="dxa"/>
            <w:vAlign w:val="bottom"/>
            <w:gridSpan w:val="2"/>
            <w:vMerge w:val="restart"/>
          </w:tcPr>
          <w:p>
            <w:pPr>
              <w:jc w:val="right"/>
              <w:ind w:right="20"/>
              <w:spacing w:after="0"/>
              <w:rPr>
                <w:sz w:val="20"/>
                <w:szCs w:val="20"/>
                <w:color w:val="auto"/>
              </w:rPr>
            </w:pPr>
            <w:r>
              <w:rPr>
                <w:rFonts w:ascii="Arial" w:cs="Arial" w:eastAsia="Arial" w:hAnsi="Arial"/>
                <w:sz w:val="18"/>
                <w:szCs w:val="18"/>
                <w:color w:val="auto"/>
                <w:w w:val="74"/>
              </w:rPr>
              <w:t>%</w:t>
            </w: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vMerge w:val="continue"/>
          </w:tcPr>
          <w:p>
            <w:pPr>
              <w:spacing w:after="0"/>
              <w:rPr>
                <w:sz w:val="17"/>
                <w:szCs w:val="17"/>
                <w:color w:val="auto"/>
              </w:rPr>
            </w:pPr>
          </w:p>
        </w:tc>
        <w:tc>
          <w:tcPr>
            <w:tcW w:w="17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1.05</w:t>
            </w:r>
          </w:p>
        </w:tc>
        <w:tc>
          <w:tcPr>
            <w:tcW w:w="260" w:type="dxa"/>
            <w:vAlign w:val="bottom"/>
            <w:vMerge w:val="continue"/>
          </w:tcPr>
          <w:p>
            <w:pPr>
              <w:spacing w:after="0"/>
              <w:rPr>
                <w:sz w:val="17"/>
                <w:szCs w:val="17"/>
                <w:color w:val="auto"/>
              </w:rPr>
            </w:pPr>
          </w:p>
        </w:tc>
        <w:tc>
          <w:tcPr>
            <w:tcW w:w="380" w:type="dxa"/>
            <w:vAlign w:val="bottom"/>
            <w:tcBorders>
              <w:bottom w:val="single" w:sz="8" w:color="auto"/>
            </w:tcBorders>
          </w:tcPr>
          <w:p>
            <w:pPr>
              <w:spacing w:after="0"/>
              <w:rPr>
                <w:sz w:val="17"/>
                <w:szCs w:val="17"/>
                <w:color w:val="auto"/>
              </w:rPr>
            </w:pPr>
          </w:p>
        </w:tc>
        <w:tc>
          <w:tcPr>
            <w:tcW w:w="132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0.85</w:t>
            </w:r>
          </w:p>
        </w:tc>
        <w:tc>
          <w:tcPr>
            <w:tcW w:w="160" w:type="dxa"/>
            <w:vAlign w:val="bottom"/>
            <w:gridSpan w:val="2"/>
            <w:vMerge w:val="continue"/>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400" w:type="dxa"/>
            <w:vAlign w:val="bottom"/>
            <w:gridSpan w:val="2"/>
            <w:vMerge w:val="restart"/>
          </w:tcPr>
          <w:p>
            <w:pPr>
              <w:ind w:left="500"/>
              <w:spacing w:after="0"/>
              <w:rPr>
                <w:sz w:val="20"/>
                <w:szCs w:val="20"/>
                <w:color w:val="auto"/>
              </w:rPr>
            </w:pPr>
            <w:r>
              <w:rPr>
                <w:rFonts w:ascii="Arial" w:cs="Arial" w:eastAsia="Arial" w:hAnsi="Arial"/>
                <w:sz w:val="18"/>
                <w:szCs w:val="18"/>
                <w:color w:val="auto"/>
              </w:rPr>
              <w:t>The balances of short-term borrowings and debt by currency, is as follows:</w:t>
            </w:r>
          </w:p>
        </w:tc>
        <w:tc>
          <w:tcPr>
            <w:tcW w:w="114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400" w:type="dxa"/>
            <w:vAlign w:val="bottom"/>
            <w:gridSpan w:val="2"/>
            <w:vMerge w:val="continue"/>
          </w:tcPr>
          <w:p>
            <w:pPr>
              <w:spacing w:after="0"/>
              <w:rPr>
                <w:sz w:val="24"/>
                <w:szCs w:val="24"/>
                <w:color w:val="auto"/>
              </w:rPr>
            </w:pPr>
          </w:p>
        </w:tc>
        <w:tc>
          <w:tcPr>
            <w:tcW w:w="114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69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0" w:type="dxa"/>
            <w:vAlign w:val="bottom"/>
            <w:gridSpan w:val="3"/>
          </w:tcPr>
          <w:p>
            <w:pPr>
              <w:jc w:val="right"/>
              <w:ind w:right="80"/>
              <w:spacing w:after="0"/>
              <w:rPr>
                <w:sz w:val="20"/>
                <w:szCs w:val="20"/>
                <w:color w:val="auto"/>
              </w:rPr>
            </w:pPr>
            <w:r>
              <w:rPr>
                <w:rFonts w:ascii="Arial" w:cs="Arial" w:eastAsia="Arial" w:hAnsi="Arial"/>
                <w:sz w:val="18"/>
                <w:szCs w:val="18"/>
                <w:b w:val="1"/>
                <w:bCs w:val="1"/>
                <w:color w:val="auto"/>
                <w:w w:val="89"/>
              </w:rPr>
              <w:t>September 30,</w:t>
            </w:r>
          </w:p>
        </w:tc>
        <w:tc>
          <w:tcPr>
            <w:tcW w:w="200" w:type="dxa"/>
            <w:vAlign w:val="bottom"/>
          </w:tcPr>
          <w:p>
            <w:pPr>
              <w:spacing w:after="0"/>
              <w:rPr>
                <w:sz w:val="24"/>
                <w:szCs w:val="24"/>
                <w:color w:val="auto"/>
              </w:rPr>
            </w:pPr>
          </w:p>
        </w:tc>
        <w:tc>
          <w:tcPr>
            <w:tcW w:w="1280" w:type="dxa"/>
            <w:vAlign w:val="bottom"/>
            <w:gridSpan w:val="3"/>
          </w:tcPr>
          <w:p>
            <w:pPr>
              <w:jc w:val="right"/>
              <w:ind w:right="180"/>
              <w:spacing w:after="0"/>
              <w:rPr>
                <w:sz w:val="20"/>
                <w:szCs w:val="20"/>
                <w:color w:val="auto"/>
              </w:rPr>
            </w:pPr>
            <w:r>
              <w:rPr>
                <w:rFonts w:ascii="Arial" w:cs="Arial" w:eastAsia="Arial" w:hAnsi="Arial"/>
                <w:sz w:val="18"/>
                <w:szCs w:val="18"/>
                <w:b w:val="1"/>
                <w:bCs w:val="1"/>
                <w:color w:val="auto"/>
                <w:w w:val="96"/>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6900" w:type="dxa"/>
            <w:vAlign w:val="bottom"/>
          </w:tcPr>
          <w:p>
            <w:pPr>
              <w:spacing w:after="0"/>
              <w:rPr>
                <w:sz w:val="20"/>
                <w:szCs w:val="20"/>
                <w:color w:val="auto"/>
              </w:rPr>
            </w:pPr>
          </w:p>
        </w:tc>
        <w:tc>
          <w:tcPr>
            <w:tcW w:w="1960" w:type="dxa"/>
            <w:vAlign w:val="bottom"/>
            <w:gridSpan w:val="3"/>
          </w:tcPr>
          <w:p>
            <w:pPr>
              <w:jc w:val="right"/>
              <w:spacing w:after="0"/>
              <w:rPr>
                <w:sz w:val="20"/>
                <w:szCs w:val="20"/>
                <w:color w:val="auto"/>
              </w:rPr>
            </w:pPr>
            <w:r>
              <w:rPr>
                <w:rFonts w:ascii="Arial" w:cs="Arial" w:eastAsia="Arial" w:hAnsi="Arial"/>
                <w:sz w:val="18"/>
                <w:szCs w:val="18"/>
                <w:b w:val="1"/>
                <w:bCs w:val="1"/>
                <w:color w:val="auto"/>
              </w:rPr>
              <w:t>2016</w:t>
            </w:r>
          </w:p>
        </w:tc>
        <w:tc>
          <w:tcPr>
            <w:tcW w:w="380" w:type="dxa"/>
            <w:vAlign w:val="bottom"/>
          </w:tcPr>
          <w:p>
            <w:pPr>
              <w:spacing w:after="0"/>
              <w:rPr>
                <w:sz w:val="20"/>
                <w:szCs w:val="20"/>
                <w:color w:val="auto"/>
              </w:rPr>
            </w:pPr>
          </w:p>
        </w:tc>
        <w:tc>
          <w:tcPr>
            <w:tcW w:w="132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2015</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140" w:type="dxa"/>
            <w:vAlign w:val="bottom"/>
            <w:tcBorders>
              <w:top w:val="single" w:sz="8" w:color="CCEEFF"/>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US dollar</w:t>
            </w:r>
          </w:p>
        </w:tc>
        <w:tc>
          <w:tcPr>
            <w:tcW w:w="2340" w:type="dxa"/>
            <w:vAlign w:val="bottom"/>
            <w:gridSpan w:val="4"/>
          </w:tcPr>
          <w:p>
            <w:pPr>
              <w:jc w:val="right"/>
              <w:spacing w:after="0"/>
              <w:rPr>
                <w:sz w:val="20"/>
                <w:szCs w:val="20"/>
                <w:color w:val="auto"/>
              </w:rPr>
            </w:pPr>
            <w:r>
              <w:rPr>
                <w:rFonts w:ascii="Arial" w:cs="Arial" w:eastAsia="Arial" w:hAnsi="Arial"/>
                <w:sz w:val="18"/>
                <w:szCs w:val="18"/>
                <w:color w:val="auto"/>
              </w:rPr>
              <w:t>1,129,300</w:t>
            </w: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2,402,701</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2340" w:type="dxa"/>
            <w:vAlign w:val="bottom"/>
            <w:gridSpan w:val="4"/>
            <w:shd w:val="clear" w:color="auto" w:fill="CCEEFF"/>
          </w:tcPr>
          <w:p>
            <w:pPr>
              <w:jc w:val="right"/>
              <w:spacing w:after="0"/>
              <w:rPr>
                <w:sz w:val="20"/>
                <w:szCs w:val="20"/>
                <w:color w:val="auto"/>
              </w:rPr>
            </w:pPr>
            <w:r>
              <w:rPr>
                <w:rFonts w:ascii="Arial" w:cs="Arial" w:eastAsia="Arial" w:hAnsi="Arial"/>
                <w:sz w:val="18"/>
                <w:szCs w:val="18"/>
                <w:color w:val="auto"/>
              </w:rPr>
              <w:t>3,188</w:t>
            </w:r>
          </w:p>
        </w:tc>
        <w:tc>
          <w:tcPr>
            <w:tcW w:w="1480" w:type="dxa"/>
            <w:vAlign w:val="bottom"/>
            <w:gridSpan w:val="4"/>
            <w:shd w:val="clear" w:color="auto" w:fill="CCEEFF"/>
          </w:tcPr>
          <w:p>
            <w:pPr>
              <w:jc w:val="right"/>
              <w:ind w:right="100"/>
              <w:spacing w:after="0"/>
              <w:rPr>
                <w:sz w:val="20"/>
                <w:szCs w:val="20"/>
                <w:color w:val="auto"/>
              </w:rPr>
            </w:pPr>
            <w:r>
              <w:rPr>
                <w:rFonts w:ascii="Arial" w:cs="Arial" w:eastAsia="Arial" w:hAnsi="Arial"/>
                <w:sz w:val="18"/>
                <w:szCs w:val="18"/>
                <w:color w:val="auto"/>
              </w:rPr>
              <w:t>14,366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Japanese yen</w:t>
            </w:r>
          </w:p>
        </w:tc>
        <w:tc>
          <w:tcPr>
            <w:tcW w:w="2340" w:type="dxa"/>
            <w:vAlign w:val="bottom"/>
            <w:gridSpan w:val="4"/>
          </w:tcPr>
          <w:p>
            <w:pPr>
              <w:jc w:val="right"/>
              <w:spacing w:after="0"/>
              <w:rPr>
                <w:sz w:val="20"/>
                <w:szCs w:val="20"/>
                <w:color w:val="auto"/>
              </w:rPr>
            </w:pPr>
            <w:r>
              <w:rPr>
                <w:rFonts w:ascii="Arial" w:cs="Arial" w:eastAsia="Arial" w:hAnsi="Arial"/>
                <w:sz w:val="18"/>
                <w:szCs w:val="18"/>
                <w:color w:val="auto"/>
              </w:rPr>
              <w:t>-</w:t>
            </w:r>
          </w:p>
        </w:tc>
        <w:tc>
          <w:tcPr>
            <w:tcW w:w="1480" w:type="dxa"/>
            <w:vAlign w:val="bottom"/>
            <w:gridSpan w:val="4"/>
          </w:tcPr>
          <w:p>
            <w:pPr>
              <w:jc w:val="right"/>
              <w:ind w:right="100"/>
              <w:spacing w:after="0"/>
              <w:rPr>
                <w:sz w:val="20"/>
                <w:szCs w:val="20"/>
                <w:color w:val="auto"/>
              </w:rPr>
            </w:pPr>
            <w:r>
              <w:rPr>
                <w:rFonts w:ascii="Arial" w:cs="Arial" w:eastAsia="Arial" w:hAnsi="Arial"/>
                <w:sz w:val="18"/>
                <w:szCs w:val="18"/>
                <w:color w:val="auto"/>
              </w:rPr>
              <w:t>13,290</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6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b w:val="1"/>
                <w:bCs w:val="1"/>
                <w:color w:val="auto"/>
              </w:rPr>
              <w:t>1,132,488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2,430,357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400" w:type="dxa"/>
            <w:vAlign w:val="bottom"/>
            <w:gridSpan w:val="2"/>
            <w:vMerge w:val="restart"/>
          </w:tcPr>
          <w:p>
            <w:pPr>
              <w:jc w:val="right"/>
              <w:ind w:right="1470"/>
              <w:spacing w:after="0"/>
              <w:rPr>
                <w:sz w:val="20"/>
                <w:szCs w:val="20"/>
                <w:color w:val="auto"/>
              </w:rPr>
            </w:pPr>
            <w:r>
              <w:rPr>
                <w:rFonts w:ascii="Arial" w:cs="Arial" w:eastAsia="Arial" w:hAnsi="Arial"/>
                <w:sz w:val="18"/>
                <w:szCs w:val="18"/>
                <w:color w:val="auto"/>
              </w:rPr>
              <w:t>42</w:t>
            </w:r>
          </w:p>
        </w:tc>
        <w:tc>
          <w:tcPr>
            <w:tcW w:w="114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400" w:type="dxa"/>
            <w:vAlign w:val="bottom"/>
            <w:tcBorders>
              <w:bottom w:val="single" w:sz="8" w:color="auto"/>
            </w:tcBorders>
            <w:gridSpan w:val="2"/>
            <w:vMerge w:val="continue"/>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44" w:name="page45"/>
    <w:bookmarkEnd w:id="44"/>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8.2   Long-term borrowings and debt</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breakdown of borrowings and long-term debt (original maturity of more than one year), together with contractual interest rates gross of prepaid commission of $5,797 and $7,017 as of September 30, 2016 and December 31, 2015, respectively, is as follows: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Long-term Borrowings: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-127635</wp:posOffset>
            </wp:positionV>
            <wp:extent cx="6809105" cy="1460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6"/>
          <w:szCs w:val="16"/>
          <w:color w:val="auto"/>
        </w:rPr>
        <w:t>At fixed interest rates with due dates from December 2016 to September 2021</w:t>
      </w:r>
    </w:p>
    <w:p>
      <w:pPr>
        <w:spacing w:after="0" w:line="32" w:lineRule="exact"/>
        <w:rPr>
          <w:sz w:val="20"/>
          <w:szCs w:val="20"/>
          <w:color w:val="auto"/>
        </w:rPr>
      </w:pPr>
    </w:p>
    <w:p>
      <w:pPr>
        <w:ind w:left="500"/>
        <w:spacing w:after="0"/>
        <w:rPr>
          <w:sz w:val="20"/>
          <w:szCs w:val="20"/>
          <w:color w:val="auto"/>
        </w:rPr>
      </w:pPr>
      <w:r>
        <w:rPr>
          <w:rFonts w:ascii="Arial" w:cs="Arial" w:eastAsia="Arial" w:hAnsi="Arial"/>
          <w:sz w:val="16"/>
          <w:szCs w:val="16"/>
          <w:color w:val="auto"/>
        </w:rPr>
        <w:t>At floating interest rates with due dates from November 2016 to August 2019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-107315</wp:posOffset>
            </wp:positionV>
            <wp:extent cx="6809105" cy="14605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Total borrowings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960" w:type="dxa"/>
            <w:vAlign w:val="bottom"/>
            <w:gridSpan w:val="2"/>
          </w:tcPr>
          <w:p>
            <w:pPr>
              <w:ind w:left="280"/>
              <w:spacing w:after="0"/>
              <w:rPr>
                <w:sz w:val="20"/>
                <w:szCs w:val="20"/>
                <w:color w:val="auto"/>
              </w:rPr>
            </w:pPr>
            <w:r>
              <w:rPr>
                <w:rFonts w:ascii="Arial" w:cs="Arial" w:eastAsia="Arial" w:hAnsi="Arial"/>
                <w:sz w:val="18"/>
                <w:szCs w:val="18"/>
                <w:b w:val="1"/>
                <w:bCs w:val="1"/>
                <w:color w:val="auto"/>
              </w:rPr>
              <w:t>September 30,</w:t>
            </w:r>
          </w:p>
        </w:tc>
        <w:tc>
          <w:tcPr>
            <w:tcW w:w="1700" w:type="dxa"/>
            <w:vAlign w:val="bottom"/>
          </w:tcPr>
          <w:p>
            <w:pPr>
              <w:jc w:val="right"/>
              <w:ind w:right="25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2016</w:t>
            </w:r>
          </w:p>
        </w:tc>
        <w:tc>
          <w:tcPr>
            <w:tcW w:w="260" w:type="dxa"/>
            <w:vAlign w:val="bottom"/>
          </w:tcPr>
          <w:p>
            <w:pPr>
              <w:spacing w:after="0"/>
              <w:rPr>
                <w:sz w:val="20"/>
                <w:szCs w:val="20"/>
                <w:color w:val="auto"/>
              </w:rPr>
            </w:pPr>
          </w:p>
        </w:tc>
        <w:tc>
          <w:tcPr>
            <w:tcW w:w="1700" w:type="dxa"/>
            <w:vAlign w:val="bottom"/>
            <w:tcBorders>
              <w:bottom w:val="single" w:sz="8" w:color="auto"/>
            </w:tcBorders>
          </w:tcPr>
          <w:p>
            <w:pPr>
              <w:jc w:val="right"/>
              <w:ind w:right="590"/>
              <w:spacing w:after="0"/>
              <w:rPr>
                <w:sz w:val="20"/>
                <w:szCs w:val="20"/>
                <w:color w:val="auto"/>
              </w:rPr>
            </w:pPr>
            <w:r>
              <w:rPr>
                <w:rFonts w:ascii="Arial" w:cs="Arial" w:eastAsia="Arial" w:hAnsi="Arial"/>
                <w:sz w:val="18"/>
                <w:szCs w:val="18"/>
                <w:b w:val="1"/>
                <w:bCs w:val="1"/>
                <w:color w:val="auto"/>
              </w:rPr>
              <w:t>2015</w:t>
            </w:r>
          </w:p>
        </w:tc>
      </w:tr>
      <w:tr>
        <w:trPr>
          <w:trHeight w:val="439"/>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58,428</w:t>
            </w: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113,039</w:t>
            </w:r>
          </w:p>
        </w:tc>
      </w:tr>
      <w:tr>
        <w:trPr>
          <w:trHeight w:val="210"/>
        </w:trPr>
        <w:tc>
          <w:tcPr>
            <w:tcW w:w="1960" w:type="dxa"/>
            <w:vAlign w:val="bottom"/>
            <w:gridSpan w:val="2"/>
          </w:tcPr>
          <w:p>
            <w:pPr>
              <w:jc w:val="right"/>
              <w:ind w:right="260"/>
              <w:spacing w:after="0"/>
              <w:rPr>
                <w:sz w:val="20"/>
                <w:szCs w:val="20"/>
                <w:color w:val="auto"/>
              </w:rPr>
            </w:pPr>
            <w:r>
              <w:rPr>
                <w:rFonts w:ascii="Arial" w:cs="Arial" w:eastAsia="Arial" w:hAnsi="Arial"/>
                <w:sz w:val="18"/>
                <w:szCs w:val="18"/>
                <w:color w:val="auto"/>
              </w:rPr>
              <w:t>636,919</w:t>
            </w:r>
          </w:p>
        </w:tc>
        <w:tc>
          <w:tcPr>
            <w:tcW w:w="1700" w:type="dxa"/>
            <w:vAlign w:val="bottom"/>
          </w:tcPr>
          <w:p>
            <w:pPr>
              <w:jc w:val="right"/>
              <w:spacing w:after="0"/>
              <w:rPr>
                <w:sz w:val="20"/>
                <w:szCs w:val="20"/>
                <w:color w:val="auto"/>
              </w:rPr>
            </w:pPr>
            <w:r>
              <w:rPr>
                <w:rFonts w:ascii="Arial" w:cs="Arial" w:eastAsia="Arial" w:hAnsi="Arial"/>
                <w:sz w:val="18"/>
                <w:szCs w:val="18"/>
                <w:color w:val="auto"/>
              </w:rPr>
              <w:t>695,837</w:t>
            </w:r>
          </w:p>
        </w:tc>
      </w:tr>
      <w:tr>
        <w:trPr>
          <w:trHeight w:val="210"/>
        </w:trPr>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695,347</w:t>
            </w:r>
          </w:p>
        </w:tc>
        <w:tc>
          <w:tcPr>
            <w:tcW w:w="260" w:type="dxa"/>
            <w:vAlign w:val="bottom"/>
          </w:tcPr>
          <w:p>
            <w:pPr>
              <w:spacing w:after="0"/>
              <w:rPr>
                <w:sz w:val="18"/>
                <w:szCs w:val="18"/>
                <w:color w:val="auto"/>
              </w:rPr>
            </w:pPr>
          </w:p>
        </w:tc>
        <w:tc>
          <w:tcPr>
            <w:tcW w:w="1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808,876</w:t>
            </w:r>
          </w:p>
        </w:tc>
      </w:tr>
    </w:tbl>
    <w:p>
      <w:pPr>
        <w:spacing w:after="0" w:line="20" w:lineRule="exact"/>
        <w:rPr>
          <w:sz w:val="20"/>
          <w:szCs w:val="20"/>
          <w:color w:val="auto"/>
        </w:rPr>
      </w:pPr>
    </w:p>
    <w:p>
      <w:pPr>
        <w:sectPr>
          <w:pgSz w:w="11900" w:h="16838" w:orient="portrait"/>
          <w:cols w:equalWidth="0" w:num="2">
            <w:col w:w="6680" w:space="720"/>
            <w:col w:w="4020"/>
          </w:cols>
          <w:pgMar w:left="240" w:top="904" w:right="2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500" w:type="dxa"/>
            <w:vAlign w:val="bottom"/>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7400" w:type="dxa"/>
            <w:vAlign w:val="bottom"/>
            <w:gridSpan w:val="2"/>
          </w:tcPr>
          <w:p>
            <w:pPr>
              <w:ind w:left="500"/>
              <w:spacing w:after="0"/>
              <w:rPr>
                <w:sz w:val="20"/>
                <w:szCs w:val="20"/>
                <w:color w:val="auto"/>
              </w:rPr>
            </w:pPr>
            <w:r>
              <w:rPr>
                <w:rFonts w:ascii="Arial" w:cs="Arial" w:eastAsia="Arial" w:hAnsi="Arial"/>
                <w:sz w:val="18"/>
                <w:szCs w:val="18"/>
                <w:b w:val="1"/>
                <w:bCs w:val="1"/>
                <w:color w:val="auto"/>
              </w:rPr>
              <w:t>Long-term Debt:</w:t>
            </w:r>
          </w:p>
        </w:tc>
        <w:tc>
          <w:tcPr>
            <w:tcW w:w="17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90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October 2016 to March 2024</w:t>
            </w:r>
          </w:p>
        </w:tc>
        <w:tc>
          <w:tcPr>
            <w:tcW w:w="1960" w:type="dxa"/>
            <w:vAlign w:val="bottom"/>
            <w:gridSpan w:val="2"/>
            <w:shd w:val="clear" w:color="auto" w:fill="CCEEFF"/>
          </w:tcPr>
          <w:p>
            <w:pPr>
              <w:jc w:val="right"/>
              <w:ind w:right="170"/>
              <w:spacing w:after="0"/>
              <w:rPr>
                <w:sz w:val="20"/>
                <w:szCs w:val="20"/>
                <w:color w:val="auto"/>
              </w:rPr>
            </w:pPr>
            <w:r>
              <w:rPr>
                <w:rFonts w:ascii="Arial" w:cs="Arial" w:eastAsia="Arial" w:hAnsi="Arial"/>
                <w:sz w:val="18"/>
                <w:szCs w:val="18"/>
                <w:color w:val="auto"/>
              </w:rPr>
              <w:t>962,478</w:t>
            </w:r>
          </w:p>
        </w:tc>
        <w:tc>
          <w:tcPr>
            <w:tcW w:w="1860" w:type="dxa"/>
            <w:vAlign w:val="bottom"/>
            <w:gridSpan w:val="2"/>
            <w:shd w:val="clear" w:color="auto" w:fill="CCEEFF"/>
          </w:tcPr>
          <w:p>
            <w:pPr>
              <w:jc w:val="right"/>
              <w:ind w:right="70"/>
              <w:spacing w:after="0"/>
              <w:rPr>
                <w:sz w:val="20"/>
                <w:szCs w:val="20"/>
                <w:color w:val="auto"/>
              </w:rPr>
            </w:pPr>
            <w:r>
              <w:rPr>
                <w:rFonts w:ascii="Arial" w:cs="Arial" w:eastAsia="Arial" w:hAnsi="Arial"/>
                <w:sz w:val="18"/>
                <w:szCs w:val="18"/>
                <w:color w:val="auto"/>
              </w:rPr>
              <w:t>929,998</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At floating interest rates with due dates from January 2018 to April 2019</w:t>
            </w:r>
          </w:p>
        </w:tc>
        <w:tc>
          <w:tcPr>
            <w:tcW w:w="1960" w:type="dxa"/>
            <w:vAlign w:val="bottom"/>
            <w:gridSpan w:val="2"/>
          </w:tcPr>
          <w:p>
            <w:pPr>
              <w:jc w:val="right"/>
              <w:ind w:right="170"/>
              <w:spacing w:after="0"/>
              <w:rPr>
                <w:sz w:val="20"/>
                <w:szCs w:val="20"/>
                <w:color w:val="auto"/>
              </w:rPr>
            </w:pPr>
            <w:r>
              <w:rPr>
                <w:rFonts w:ascii="Arial" w:cs="Arial" w:eastAsia="Arial" w:hAnsi="Arial"/>
                <w:sz w:val="18"/>
                <w:szCs w:val="18"/>
                <w:color w:val="auto"/>
              </w:rPr>
              <w:t>179,344</w:t>
            </w:r>
          </w:p>
        </w:tc>
        <w:tc>
          <w:tcPr>
            <w:tcW w:w="1860" w:type="dxa"/>
            <w:vAlign w:val="bottom"/>
            <w:gridSpan w:val="2"/>
          </w:tcPr>
          <w:p>
            <w:pPr>
              <w:jc w:val="right"/>
              <w:ind w:right="70"/>
              <w:spacing w:after="0"/>
              <w:rPr>
                <w:sz w:val="20"/>
                <w:szCs w:val="20"/>
                <w:color w:val="auto"/>
              </w:rPr>
            </w:pPr>
            <w:r>
              <w:rPr>
                <w:rFonts w:ascii="Arial" w:cs="Arial" w:eastAsia="Arial" w:hAnsi="Arial"/>
                <w:sz w:val="18"/>
                <w:szCs w:val="18"/>
                <w:color w:val="auto"/>
              </w:rPr>
              <w:t>149,956</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debt</w:t>
            </w: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1,141,822</w:t>
            </w:r>
          </w:p>
        </w:tc>
        <w:tc>
          <w:tcPr>
            <w:tcW w:w="260" w:type="dxa"/>
            <w:vAlign w:val="bottom"/>
            <w:tcBorders>
              <w:top w:val="single" w:sz="8" w:color="CCEEFF"/>
            </w:tcBorders>
            <w:shd w:val="clear" w:color="auto" w:fill="CCEEFF"/>
          </w:tcPr>
          <w:p>
            <w:pPr>
              <w:spacing w:after="0"/>
              <w:rPr>
                <w:sz w:val="18"/>
                <w:szCs w:val="18"/>
                <w:color w:val="auto"/>
              </w:rPr>
            </w:pPr>
          </w:p>
        </w:tc>
        <w:tc>
          <w:tcPr>
            <w:tcW w:w="17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1,079,954</w:t>
            </w:r>
          </w:p>
        </w:tc>
        <w:tc>
          <w:tcPr>
            <w:tcW w:w="16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500" w:type="dxa"/>
            <w:vAlign w:val="bottom"/>
          </w:tcPr>
          <w:p>
            <w:pPr>
              <w:spacing w:after="0"/>
              <w:rPr>
                <w:sz w:val="22"/>
                <w:szCs w:val="22"/>
                <w:color w:val="auto"/>
              </w:rPr>
            </w:pPr>
          </w:p>
        </w:tc>
        <w:tc>
          <w:tcPr>
            <w:tcW w:w="6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borrowings and debt outstanding</w:t>
            </w: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1,837,169</w:t>
            </w:r>
          </w:p>
        </w:tc>
        <w:tc>
          <w:tcPr>
            <w:tcW w:w="260" w:type="dxa"/>
            <w:vAlign w:val="bottom"/>
            <w:tcBorders>
              <w:bottom w:val="single" w:sz="8" w:color="CCEEFF"/>
            </w:tcBorders>
          </w:tcPr>
          <w:p>
            <w:pPr>
              <w:spacing w:after="0"/>
              <w:rPr>
                <w:sz w:val="22"/>
                <w:szCs w:val="22"/>
                <w:color w:val="auto"/>
              </w:rPr>
            </w:pPr>
          </w:p>
        </w:tc>
        <w:tc>
          <w:tcPr>
            <w:tcW w:w="17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1,888,830</w:t>
            </w:r>
          </w:p>
        </w:tc>
        <w:tc>
          <w:tcPr>
            <w:tcW w:w="160" w:type="dxa"/>
            <w:vAlign w:val="bottom"/>
            <w:tcBorders>
              <w:bottom w:val="single" w:sz="8" w:color="CCEEFF"/>
            </w:tcBorders>
          </w:tcPr>
          <w:p>
            <w:pPr>
              <w:spacing w:after="0"/>
              <w:rPr>
                <w:sz w:val="22"/>
                <w:szCs w:val="22"/>
                <w:color w:val="auto"/>
              </w:rPr>
            </w:pPr>
          </w:p>
        </w:tc>
        <w:tc>
          <w:tcPr>
            <w:tcW w:w="2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500" w:type="dxa"/>
            <w:vAlign w:val="bottom"/>
            <w:vMerge w:val="restart"/>
          </w:tcPr>
          <w:p>
            <w:pPr>
              <w:spacing w:after="0"/>
              <w:rPr>
                <w:sz w:val="17"/>
                <w:szCs w:val="17"/>
                <w:color w:val="auto"/>
              </w:rPr>
            </w:pPr>
          </w:p>
        </w:tc>
        <w:tc>
          <w:tcPr>
            <w:tcW w:w="690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500" w:type="dxa"/>
            <w:vAlign w:val="bottom"/>
            <w:vMerge w:val="continue"/>
          </w:tcPr>
          <w:p>
            <w:pPr>
              <w:spacing w:after="0"/>
              <w:rPr>
                <w:sz w:val="24"/>
                <w:szCs w:val="24"/>
                <w:color w:val="auto"/>
              </w:rPr>
            </w:pPr>
          </w:p>
        </w:tc>
        <w:tc>
          <w:tcPr>
            <w:tcW w:w="6900" w:type="dxa"/>
            <w:vAlign w:val="bottom"/>
          </w:tcPr>
          <w:p>
            <w:pPr>
              <w:spacing w:after="0"/>
              <w:rPr>
                <w:sz w:val="20"/>
                <w:szCs w:val="20"/>
                <w:color w:val="auto"/>
              </w:rPr>
            </w:pPr>
            <w:r>
              <w:rPr>
                <w:rFonts w:ascii="Arial" w:cs="Arial" w:eastAsia="Arial" w:hAnsi="Arial"/>
                <w:sz w:val="18"/>
                <w:szCs w:val="18"/>
                <w:color w:val="auto"/>
              </w:rPr>
              <w:t>Average outstanding balance during the period</w:t>
            </w:r>
          </w:p>
        </w:tc>
        <w:tc>
          <w:tcPr>
            <w:tcW w:w="1700" w:type="dxa"/>
            <w:vAlign w:val="bottom"/>
          </w:tcPr>
          <w:p>
            <w:pPr>
              <w:jc w:val="right"/>
              <w:spacing w:after="0"/>
              <w:rPr>
                <w:sz w:val="20"/>
                <w:szCs w:val="20"/>
                <w:color w:val="auto"/>
              </w:rPr>
            </w:pPr>
            <w:r>
              <w:rPr>
                <w:rFonts w:ascii="Arial" w:cs="Arial" w:eastAsia="Arial" w:hAnsi="Arial"/>
                <w:sz w:val="18"/>
                <w:szCs w:val="18"/>
                <w:color w:val="auto"/>
              </w:rPr>
              <w:t>1,904,577</w:t>
            </w:r>
          </w:p>
        </w:tc>
        <w:tc>
          <w:tcPr>
            <w:tcW w:w="260" w:type="dxa"/>
            <w:vAlign w:val="bottom"/>
          </w:tcPr>
          <w:p>
            <w:pPr>
              <w:spacing w:after="0"/>
              <w:rPr>
                <w:sz w:val="24"/>
                <w:szCs w:val="24"/>
                <w:color w:val="auto"/>
              </w:rPr>
            </w:pPr>
          </w:p>
        </w:tc>
        <w:tc>
          <w:tcPr>
            <w:tcW w:w="1860" w:type="dxa"/>
            <w:vAlign w:val="bottom"/>
            <w:gridSpan w:val="2"/>
          </w:tcPr>
          <w:p>
            <w:pPr>
              <w:jc w:val="right"/>
              <w:ind w:right="70"/>
              <w:spacing w:after="0"/>
              <w:rPr>
                <w:sz w:val="20"/>
                <w:szCs w:val="20"/>
                <w:color w:val="auto"/>
              </w:rPr>
            </w:pPr>
            <w:r>
              <w:rPr>
                <w:rFonts w:ascii="Arial" w:cs="Arial" w:eastAsia="Arial" w:hAnsi="Arial"/>
                <w:sz w:val="18"/>
                <w:szCs w:val="18"/>
                <w:color w:val="auto"/>
              </w:rPr>
              <w:t>1,589,451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Maximum outstanding balance at any month – end</w:t>
            </w: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2,054,138</w:t>
            </w:r>
          </w:p>
        </w:tc>
        <w:tc>
          <w:tcPr>
            <w:tcW w:w="260" w:type="dxa"/>
            <w:vAlign w:val="bottom"/>
            <w:tcBorders>
              <w:top w:val="single" w:sz="8" w:color="CCEEFF"/>
              <w:bottom w:val="single" w:sz="8" w:color="CCEEFF"/>
            </w:tcBorders>
            <w:shd w:val="clear" w:color="auto" w:fill="CCEEFF"/>
          </w:tcPr>
          <w:p>
            <w:pPr>
              <w:spacing w:after="0"/>
              <w:rPr>
                <w:sz w:val="17"/>
                <w:szCs w:val="17"/>
                <w:color w:val="auto"/>
              </w:rPr>
            </w:pPr>
          </w:p>
        </w:tc>
        <w:tc>
          <w:tcPr>
            <w:tcW w:w="17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1,888,830</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and debt in U.S. dollars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1.01% to 3.75%</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1.01% to 3.75%</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 in U.S. dollars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1.30% to 2.38%</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0.84% to 1.95%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 in Mexican pesos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4.30% to 7.30%</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4.30% to 5.95%</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 and debt in Mexican pesos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4.98% to 5.54%</w:t>
            </w:r>
          </w:p>
        </w:tc>
        <w:tc>
          <w:tcPr>
            <w:tcW w:w="260" w:type="dxa"/>
            <w:vAlign w:val="bottom"/>
            <w:tcBorders>
              <w:bottom w:val="single" w:sz="8" w:color="CCEEFF"/>
            </w:tcBorders>
            <w:shd w:val="clear" w:color="auto" w:fill="CCEEFF"/>
          </w:tcPr>
          <w:p>
            <w:pPr>
              <w:spacing w:after="0"/>
              <w:rPr>
                <w:sz w:val="17"/>
                <w:szCs w:val="17"/>
                <w:color w:val="auto"/>
              </w:rPr>
            </w:pP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3.93% to 5.45%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Range of fixed interest rate on debt in Japanese yens</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0.46% to 0.81%</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0.50% to 0.81%</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 on debt in Euros</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3.75</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0.40% to 3.75%</w:t>
            </w:r>
          </w:p>
        </w:tc>
        <w:tc>
          <w:tcPr>
            <w:tcW w:w="160" w:type="dxa"/>
            <w:vAlign w:val="bottom"/>
            <w:tcBorders>
              <w:bottom w:val="single" w:sz="8" w:color="CCEEFF"/>
            </w:tcBorders>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900" w:type="dxa"/>
            <w:vAlign w:val="bottom"/>
            <w:vMerge w:val="restart"/>
          </w:tcPr>
          <w:p>
            <w:pPr>
              <w:spacing w:after="0"/>
              <w:rPr>
                <w:sz w:val="20"/>
                <w:szCs w:val="20"/>
                <w:color w:val="auto"/>
              </w:rPr>
            </w:pPr>
            <w:r>
              <w:rPr>
                <w:rFonts w:ascii="Arial" w:cs="Arial" w:eastAsia="Arial" w:hAnsi="Arial"/>
                <w:sz w:val="18"/>
                <w:szCs w:val="18"/>
                <w:color w:val="auto"/>
              </w:rPr>
              <w:t>Weighted average interest rate at the end of the period</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vMerge w:val="restart"/>
          </w:tcPr>
          <w:p>
            <w:pPr>
              <w:jc w:val="right"/>
              <w:ind w:right="30"/>
              <w:spacing w:after="0"/>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vMerge w:val="restart"/>
          </w:tcPr>
          <w:p>
            <w:pPr>
              <w:jc w:val="right"/>
              <w:spacing w:after="0"/>
              <w:rPr>
                <w:sz w:val="20"/>
                <w:szCs w:val="20"/>
                <w:color w:val="auto"/>
              </w:rPr>
            </w:pPr>
            <w:r>
              <w:rPr>
                <w:rFonts w:ascii="Arial" w:cs="Arial" w:eastAsia="Arial" w:hAnsi="Arial"/>
                <w:sz w:val="18"/>
                <w:szCs w:val="18"/>
                <w:color w:val="auto"/>
                <w:w w:val="74"/>
              </w:rPr>
              <w:t>%</w:t>
            </w: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500" w:type="dxa"/>
            <w:vAlign w:val="bottom"/>
          </w:tcPr>
          <w:p>
            <w:pPr>
              <w:spacing w:after="0"/>
              <w:rPr>
                <w:sz w:val="20"/>
                <w:szCs w:val="20"/>
                <w:color w:val="auto"/>
              </w:rPr>
            </w:pPr>
          </w:p>
        </w:tc>
        <w:tc>
          <w:tcPr>
            <w:tcW w:w="690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2.76</w:t>
            </w:r>
          </w:p>
        </w:tc>
        <w:tc>
          <w:tcPr>
            <w:tcW w:w="260" w:type="dxa"/>
            <w:vAlign w:val="bottom"/>
            <w:tcBorders>
              <w:bottom w:val="single" w:sz="8" w:color="CCEEFF"/>
            </w:tcBorders>
            <w:vMerge w:val="continue"/>
          </w:tcPr>
          <w:p>
            <w:pPr>
              <w:spacing w:after="0"/>
              <w:rPr>
                <w:sz w:val="20"/>
                <w:szCs w:val="20"/>
                <w:color w:val="auto"/>
              </w:rPr>
            </w:pPr>
          </w:p>
        </w:tc>
        <w:tc>
          <w:tcPr>
            <w:tcW w:w="17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2.62</w:t>
            </w:r>
          </w:p>
        </w:tc>
        <w:tc>
          <w:tcPr>
            <w:tcW w:w="160" w:type="dxa"/>
            <w:vAlign w:val="bottom"/>
            <w:tcBorders>
              <w:bottom w:val="single" w:sz="8" w:color="CCEEFF"/>
            </w:tcBorders>
            <w:vMerge w:val="continue"/>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500" w:type="dxa"/>
            <w:vAlign w:val="bottom"/>
          </w:tcPr>
          <w:p>
            <w:pPr>
              <w:spacing w:after="0"/>
              <w:rPr>
                <w:sz w:val="17"/>
                <w:szCs w:val="17"/>
                <w:color w:val="auto"/>
              </w:rPr>
            </w:pPr>
          </w:p>
        </w:tc>
        <w:tc>
          <w:tcPr>
            <w:tcW w:w="69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during the period</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2.92</w:t>
            </w:r>
          </w:p>
        </w:tc>
        <w:tc>
          <w:tcPr>
            <w:tcW w:w="260" w:type="dxa"/>
            <w:vAlign w:val="bottom"/>
            <w:tcBorders>
              <w:bottom w:val="single" w:sz="8" w:color="CCEEFF"/>
            </w:tcBorders>
            <w:shd w:val="clear" w:color="auto" w:fill="CCEEFF"/>
          </w:tcPr>
          <w:p>
            <w:pPr>
              <w:jc w:val="right"/>
              <w:ind w:right="30"/>
              <w:spacing w:after="0" w:line="190" w:lineRule="exact"/>
              <w:rPr>
                <w:sz w:val="20"/>
                <w:szCs w:val="20"/>
                <w:color w:val="auto"/>
              </w:rPr>
            </w:pPr>
            <w:r>
              <w:rPr>
                <w:rFonts w:ascii="Arial" w:cs="Arial" w:eastAsia="Arial" w:hAnsi="Arial"/>
                <w:sz w:val="18"/>
                <w:szCs w:val="18"/>
                <w:color w:val="auto"/>
                <w:w w:val="74"/>
              </w:rPr>
              <w:t>%</w:t>
            </w:r>
          </w:p>
        </w:tc>
        <w:tc>
          <w:tcPr>
            <w:tcW w:w="17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2.65</w:t>
            </w:r>
          </w:p>
        </w:tc>
        <w:tc>
          <w:tcPr>
            <w:tcW w:w="160" w:type="dxa"/>
            <w:vAlign w:val="bottom"/>
            <w:tcBorders>
              <w:bottom w:val="single" w:sz="8" w:color="CCEEFF"/>
            </w:tcBorders>
            <w:shd w:val="clear" w:color="auto" w:fill="CCEEFF"/>
          </w:tcPr>
          <w:p>
            <w:pPr>
              <w:jc w:val="right"/>
              <w:spacing w:after="0" w:line="190" w:lineRule="exact"/>
              <w:rPr>
                <w:sz w:val="20"/>
                <w:szCs w:val="20"/>
                <w:color w:val="auto"/>
              </w:rPr>
            </w:pPr>
            <w:r>
              <w:rPr>
                <w:rFonts w:ascii="Arial" w:cs="Arial" w:eastAsia="Arial" w:hAnsi="Arial"/>
                <w:sz w:val="18"/>
                <w:szCs w:val="18"/>
                <w:color w:val="auto"/>
                <w:w w:val="74"/>
              </w:rPr>
              <w:t>%</w:t>
            </w: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400" w:type="dxa"/>
            <w:vAlign w:val="bottom"/>
            <w:gridSpan w:val="2"/>
            <w:vMerge w:val="restart"/>
          </w:tcPr>
          <w:p>
            <w:pPr>
              <w:jc w:val="right"/>
              <w:ind w:right="1470"/>
              <w:spacing w:after="0"/>
              <w:rPr>
                <w:sz w:val="20"/>
                <w:szCs w:val="20"/>
                <w:color w:val="auto"/>
              </w:rPr>
            </w:pPr>
            <w:r>
              <w:rPr>
                <w:rFonts w:ascii="Arial" w:cs="Arial" w:eastAsia="Arial" w:hAnsi="Arial"/>
                <w:sz w:val="18"/>
                <w:szCs w:val="18"/>
                <w:color w:val="auto"/>
              </w:rPr>
              <w:t>43</w:t>
            </w:r>
          </w:p>
        </w:tc>
        <w:tc>
          <w:tcPr>
            <w:tcW w:w="17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7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7400" w:type="dxa"/>
            <w:vAlign w:val="bottom"/>
            <w:tcBorders>
              <w:bottom w:val="single" w:sz="8" w:color="auto"/>
            </w:tcBorders>
            <w:gridSpan w:val="2"/>
            <w:vMerge w:val="continue"/>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7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type w:val="continuous"/>
        </w:sectPr>
      </w:pPr>
    </w:p>
    <w:bookmarkStart w:id="45" w:name="page46"/>
    <w:bookmarkEnd w:id="4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p>
      <w:pPr>
        <w:spacing w:after="0" w:line="156" w:lineRule="exact"/>
        <w:rPr>
          <w:sz w:val="20"/>
          <w:szCs w:val="20"/>
          <w:color w:val="auto"/>
        </w:rPr>
      </w:pPr>
    </w:p>
    <w:p>
      <w:pPr>
        <w:ind w:left="500" w:hanging="492"/>
        <w:spacing w:after="0"/>
        <w:tabs>
          <w:tab w:leader="none" w:pos="50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8.2   Long-term borrowings and debt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6"/>
          <w:szCs w:val="16"/>
          <w:color w:val="auto"/>
        </w:rPr>
        <w:t>The balances of long-term borrowings and debt by currency, is as follows:</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289" w:lineRule="exact"/>
        <w:rPr>
          <w:rFonts w:ascii="Arial" w:cs="Arial" w:eastAsia="Arial" w:hAnsi="Arial"/>
          <w:sz w:val="18"/>
          <w:szCs w:val="18"/>
          <w:b w:val="1"/>
          <w:bCs w:val="1"/>
          <w:color w:val="auto"/>
        </w:rPr>
      </w:pPr>
    </w:p>
    <w:p>
      <w:pPr>
        <w:ind w:left="520" w:right="6300" w:hanging="18"/>
        <w:spacing w:after="0" w:line="286" w:lineRule="auto"/>
        <w:rPr>
          <w:rFonts w:ascii="Arial" w:cs="Arial" w:eastAsia="Arial" w:hAnsi="Arial"/>
          <w:sz w:val="18"/>
          <w:szCs w:val="18"/>
          <w:b w:val="1"/>
          <w:bCs w:val="1"/>
          <w:color w:val="auto"/>
        </w:rPr>
      </w:pPr>
      <w:r>
        <w:rPr>
          <w:rFonts w:ascii="Arial" w:cs="Arial" w:eastAsia="Arial" w:hAnsi="Arial"/>
          <w:sz w:val="16"/>
          <w:szCs w:val="16"/>
          <w:b w:val="1"/>
          <w:bCs w:val="1"/>
          <w:color w:val="auto"/>
        </w:rPr>
        <w:t xml:space="preserve">Currency </w:t>
      </w:r>
      <w:r>
        <w:rPr>
          <w:rFonts w:ascii="Arial" w:cs="Arial" w:eastAsia="Arial" w:hAnsi="Arial"/>
          <w:sz w:val="16"/>
          <w:szCs w:val="16"/>
          <w:color w:val="auto"/>
        </w:rPr>
        <w:t>US dollar Mexican peso Japanese yen Euro</w:t>
      </w:r>
    </w:p>
    <w:p>
      <w:pPr>
        <w:spacing w:after="0" w:line="2" w:lineRule="exact"/>
        <w:rPr>
          <w:rFonts w:ascii="Arial" w:cs="Arial" w:eastAsia="Arial" w:hAnsi="Arial"/>
          <w:sz w:val="18"/>
          <w:szCs w:val="18"/>
          <w:b w:val="1"/>
          <w:bCs w:val="1"/>
          <w:color w:val="auto"/>
        </w:rPr>
      </w:pPr>
    </w:p>
    <w:p>
      <w:pPr>
        <w:ind w:left="520"/>
        <w:spacing w:after="0"/>
        <w:rPr>
          <w:rFonts w:ascii="Arial" w:cs="Arial" w:eastAsia="Arial" w:hAnsi="Arial"/>
          <w:sz w:val="18"/>
          <w:szCs w:val="18"/>
          <w:b w:val="1"/>
          <w:bCs w:val="1"/>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-825500</wp:posOffset>
            </wp:positionV>
            <wp:extent cx="6809105" cy="14605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-542290</wp:posOffset>
            </wp:positionV>
            <wp:extent cx="6809105" cy="13716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809105" cy="13716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-267970</wp:posOffset>
            </wp:positionV>
            <wp:extent cx="6809105" cy="14605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w w:val="93"/>
              </w:rPr>
              <w:t>December 31,</w:t>
            </w:r>
          </w:p>
        </w:tc>
      </w:tr>
      <w:tr>
        <w:trPr>
          <w:trHeight w:val="234"/>
        </w:trPr>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r>
      <w:tr>
        <w:trPr>
          <w:trHeight w:val="411"/>
        </w:trPr>
        <w:tc>
          <w:tcPr>
            <w:tcW w:w="1200" w:type="dxa"/>
            <w:vAlign w:val="bottom"/>
          </w:tcPr>
          <w:p>
            <w:pPr>
              <w:jc w:val="right"/>
              <w:spacing w:after="0"/>
              <w:rPr>
                <w:sz w:val="20"/>
                <w:szCs w:val="20"/>
                <w:color w:val="auto"/>
              </w:rPr>
            </w:pPr>
            <w:r>
              <w:rPr>
                <w:rFonts w:ascii="Arial" w:cs="Arial" w:eastAsia="Arial" w:hAnsi="Arial"/>
                <w:sz w:val="18"/>
                <w:szCs w:val="18"/>
                <w:color w:val="auto"/>
              </w:rPr>
              <w:t>1,440,679</w:t>
            </w:r>
          </w:p>
        </w:tc>
        <w:tc>
          <w:tcPr>
            <w:tcW w:w="20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1,599,233</w:t>
            </w:r>
          </w:p>
        </w:tc>
      </w:tr>
      <w:tr>
        <w:trPr>
          <w:trHeight w:val="216"/>
        </w:trPr>
        <w:tc>
          <w:tcPr>
            <w:tcW w:w="1200" w:type="dxa"/>
            <w:vAlign w:val="bottom"/>
          </w:tcPr>
          <w:p>
            <w:pPr>
              <w:jc w:val="right"/>
              <w:spacing w:after="0"/>
              <w:rPr>
                <w:sz w:val="20"/>
                <w:szCs w:val="20"/>
                <w:color w:val="auto"/>
              </w:rPr>
            </w:pPr>
            <w:r>
              <w:rPr>
                <w:rFonts w:ascii="Arial" w:cs="Arial" w:eastAsia="Arial" w:hAnsi="Arial"/>
                <w:sz w:val="18"/>
                <w:szCs w:val="18"/>
                <w:color w:val="auto"/>
              </w:rPr>
              <w:t>228,601</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153,332</w:t>
            </w:r>
          </w:p>
        </w:tc>
      </w:tr>
      <w:tr>
        <w:trPr>
          <w:trHeight w:val="230"/>
        </w:trPr>
        <w:tc>
          <w:tcPr>
            <w:tcW w:w="1200" w:type="dxa"/>
            <w:vAlign w:val="bottom"/>
          </w:tcPr>
          <w:p>
            <w:pPr>
              <w:jc w:val="right"/>
              <w:spacing w:after="0"/>
              <w:rPr>
                <w:sz w:val="20"/>
                <w:szCs w:val="20"/>
                <w:color w:val="auto"/>
              </w:rPr>
            </w:pPr>
            <w:r>
              <w:rPr>
                <w:rFonts w:ascii="Arial" w:cs="Arial" w:eastAsia="Arial" w:hAnsi="Arial"/>
                <w:sz w:val="18"/>
                <w:szCs w:val="18"/>
                <w:color w:val="auto"/>
              </w:rPr>
              <w:t>108,647</w:t>
            </w:r>
          </w:p>
        </w:tc>
        <w:tc>
          <w:tcPr>
            <w:tcW w:w="20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25,035</w:t>
            </w:r>
          </w:p>
        </w:tc>
      </w:tr>
      <w:tr>
        <w:trPr>
          <w:trHeight w:val="230"/>
        </w:trPr>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59,242</w:t>
            </w:r>
          </w:p>
        </w:tc>
        <w:tc>
          <w:tcPr>
            <w:tcW w:w="1180" w:type="dxa"/>
            <w:vAlign w:val="bottom"/>
          </w:tcPr>
          <w:p>
            <w:pPr>
              <w:jc w:val="right"/>
              <w:spacing w:after="0"/>
              <w:rPr>
                <w:sz w:val="20"/>
                <w:szCs w:val="20"/>
                <w:color w:val="auto"/>
              </w:rPr>
            </w:pPr>
            <w:r>
              <w:rPr>
                <w:rFonts w:ascii="Arial" w:cs="Arial" w:eastAsia="Arial" w:hAnsi="Arial"/>
                <w:sz w:val="18"/>
                <w:szCs w:val="18"/>
                <w:color w:val="auto"/>
              </w:rPr>
              <w:t>111,230</w:t>
            </w:r>
          </w:p>
        </w:tc>
      </w:tr>
      <w:tr>
        <w:trPr>
          <w:trHeight w:val="223"/>
        </w:trPr>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1,837,169</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1,888,830</w:t>
            </w: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820" w:space="720"/>
            <w:col w:w="2880"/>
          </w:cols>
          <w:pgMar w:left="240" w:top="904" w:right="239" w:bottom="1440" w:gutter="0" w:footer="0" w:header="0"/>
          <w:type w:val="continuous"/>
        </w:sectPr>
      </w:pPr>
    </w:p>
    <w:p>
      <w:pPr>
        <w:spacing w:after="0" w:line="2" w:lineRule="exact"/>
        <w:rPr>
          <w:sz w:val="20"/>
          <w:szCs w:val="20"/>
          <w:color w:val="auto"/>
        </w:rPr>
      </w:pPr>
    </w:p>
    <w:p>
      <w:pPr>
        <w:jc w:val="both"/>
        <w:ind w:left="500"/>
        <w:spacing w:after="0" w:line="255" w:lineRule="auto"/>
        <w:rPr>
          <w:sz w:val="20"/>
          <w:szCs w:val="20"/>
          <w:color w:val="auto"/>
        </w:rPr>
      </w:pPr>
      <w:r>
        <w:rPr>
          <w:rFonts w:ascii="Arial" w:cs="Arial" w:eastAsia="Arial" w:hAnsi="Arial"/>
          <w:sz w:val="18"/>
          <w:szCs w:val="18"/>
          <w:color w:val="auto"/>
        </w:rPr>
        <w:t>The Bank's funding activities include: (i)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w:t>
      </w:r>
    </w:p>
    <w:p>
      <w:pPr>
        <w:spacing w:after="0" w:line="193"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2016, the Bank was in compliance with all covenants.</w:t>
      </w:r>
    </w:p>
    <w:p>
      <w:pPr>
        <w:spacing w:after="0" w:line="181"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future remaining maturities of long-term borrowings and debt outstanding as of September 30, 2016, are as follows:</w:t>
      </w:r>
    </w:p>
    <w:p>
      <w:pPr>
        <w:spacing w:after="0" w:line="235" w:lineRule="exact"/>
        <w:rPr>
          <w:sz w:val="20"/>
          <w:szCs w:val="20"/>
          <w:color w:val="auto"/>
        </w:rPr>
      </w:pPr>
    </w:p>
    <w:tbl>
      <w:tblPr>
        <w:tblLayout w:type="fixed"/>
        <w:tblInd w:w="1080" w:type="dxa"/>
        <w:tblCellMar>
          <w:top w:w="0" w:type="dxa"/>
          <w:left w:w="0" w:type="dxa"/>
          <w:bottom w:w="0" w:type="dxa"/>
          <w:right w:w="0" w:type="dxa"/>
        </w:tblCellMar>
      </w:tblPr>
      <w:tr>
        <w:trPr>
          <w:trHeight w:val="234"/>
        </w:trPr>
        <w:tc>
          <w:tcPr>
            <w:tcW w:w="8560" w:type="dxa"/>
            <w:vAlign w:val="bottom"/>
          </w:tcPr>
          <w:p>
            <w:pPr>
              <w:spacing w:after="0"/>
              <w:rPr>
                <w:sz w:val="20"/>
                <w:szCs w:val="20"/>
                <w:color w:val="auto"/>
              </w:rPr>
            </w:pPr>
          </w:p>
        </w:tc>
        <w:tc>
          <w:tcPr>
            <w:tcW w:w="138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rPr>
              <w:t>Outstanding</w:t>
            </w:r>
          </w:p>
        </w:tc>
      </w:tr>
      <w:tr>
        <w:trPr>
          <w:trHeight w:val="210"/>
        </w:trPr>
        <w:tc>
          <w:tcPr>
            <w:tcW w:w="8560" w:type="dxa"/>
            <w:vAlign w:val="bottom"/>
            <w:tcBorders>
              <w:top w:val="single" w:sz="8" w:color="CCEEFF"/>
            </w:tcBorders>
            <w:shd w:val="clear" w:color="auto" w:fill="CCEEFF"/>
          </w:tcPr>
          <w:p>
            <w:pPr>
              <w:jc w:val="center"/>
              <w:ind w:right="10"/>
              <w:spacing w:after="0"/>
              <w:rPr>
                <w:sz w:val="20"/>
                <w:szCs w:val="20"/>
                <w:color w:val="auto"/>
              </w:rPr>
            </w:pPr>
            <w:r>
              <w:rPr>
                <w:rFonts w:ascii="Arial" w:cs="Arial" w:eastAsia="Arial" w:hAnsi="Arial"/>
                <w:sz w:val="18"/>
                <w:szCs w:val="18"/>
                <w:b w:val="1"/>
                <w:bCs w:val="1"/>
                <w:color w:val="auto"/>
                <w:w w:val="90"/>
              </w:rPr>
              <w:t>Due in</w:t>
            </w:r>
          </w:p>
        </w:tc>
        <w:tc>
          <w:tcPr>
            <w:tcW w:w="128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560" w:type="dxa"/>
            <w:vAlign w:val="bottom"/>
          </w:tcPr>
          <w:p>
            <w:pPr>
              <w:jc w:val="center"/>
              <w:spacing w:after="0"/>
              <w:rPr>
                <w:sz w:val="20"/>
                <w:szCs w:val="20"/>
                <w:color w:val="auto"/>
              </w:rPr>
            </w:pPr>
            <w:r>
              <w:rPr>
                <w:rFonts w:ascii="Arial" w:cs="Arial" w:eastAsia="Arial" w:hAnsi="Arial"/>
                <w:sz w:val="18"/>
                <w:szCs w:val="18"/>
                <w:color w:val="auto"/>
                <w:w w:val="89"/>
              </w:rPr>
              <w:t>2016</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62,597</w:t>
            </w:r>
          </w:p>
        </w:tc>
      </w:tr>
      <w:tr>
        <w:trPr>
          <w:trHeight w:val="216"/>
        </w:trPr>
        <w:tc>
          <w:tcPr>
            <w:tcW w:w="8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2017</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459,609</w:t>
            </w:r>
          </w:p>
        </w:tc>
      </w:tr>
      <w:tr>
        <w:trPr>
          <w:trHeight w:val="216"/>
        </w:trPr>
        <w:tc>
          <w:tcPr>
            <w:tcW w:w="8560" w:type="dxa"/>
            <w:vAlign w:val="bottom"/>
          </w:tcPr>
          <w:p>
            <w:pPr>
              <w:jc w:val="center"/>
              <w:spacing w:after="0"/>
              <w:rPr>
                <w:sz w:val="20"/>
                <w:szCs w:val="20"/>
                <w:color w:val="auto"/>
              </w:rPr>
            </w:pPr>
            <w:r>
              <w:rPr>
                <w:rFonts w:ascii="Arial" w:cs="Arial" w:eastAsia="Arial" w:hAnsi="Arial"/>
                <w:sz w:val="18"/>
                <w:szCs w:val="18"/>
                <w:color w:val="auto"/>
                <w:w w:val="89"/>
              </w:rPr>
              <w:t>2018</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542,476</w:t>
            </w:r>
          </w:p>
        </w:tc>
      </w:tr>
      <w:tr>
        <w:trPr>
          <w:trHeight w:val="216"/>
        </w:trPr>
        <w:tc>
          <w:tcPr>
            <w:tcW w:w="8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2019</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348,093</w:t>
            </w:r>
          </w:p>
        </w:tc>
      </w:tr>
      <w:tr>
        <w:trPr>
          <w:trHeight w:val="216"/>
        </w:trPr>
        <w:tc>
          <w:tcPr>
            <w:tcW w:w="8560" w:type="dxa"/>
            <w:vAlign w:val="bottom"/>
          </w:tcPr>
          <w:p>
            <w:pPr>
              <w:jc w:val="center"/>
              <w:spacing w:after="0"/>
              <w:rPr>
                <w:sz w:val="20"/>
                <w:szCs w:val="20"/>
                <w:color w:val="auto"/>
              </w:rPr>
            </w:pPr>
            <w:r>
              <w:rPr>
                <w:rFonts w:ascii="Arial" w:cs="Arial" w:eastAsia="Arial" w:hAnsi="Arial"/>
                <w:sz w:val="18"/>
                <w:szCs w:val="18"/>
                <w:color w:val="auto"/>
                <w:w w:val="89"/>
              </w:rPr>
              <w:t>2020</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359,389</w:t>
            </w:r>
          </w:p>
        </w:tc>
      </w:tr>
      <w:tr>
        <w:trPr>
          <w:trHeight w:val="216"/>
        </w:trPr>
        <w:tc>
          <w:tcPr>
            <w:tcW w:w="85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2021</w:t>
            </w:r>
          </w:p>
        </w:tc>
        <w:tc>
          <w:tcPr>
            <w:tcW w:w="13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5,763</w:t>
            </w:r>
          </w:p>
        </w:tc>
      </w:tr>
      <w:tr>
        <w:trPr>
          <w:trHeight w:val="230"/>
        </w:trPr>
        <w:tc>
          <w:tcPr>
            <w:tcW w:w="8560" w:type="dxa"/>
            <w:vAlign w:val="bottom"/>
          </w:tcPr>
          <w:p>
            <w:pPr>
              <w:jc w:val="center"/>
              <w:spacing w:after="0"/>
              <w:rPr>
                <w:sz w:val="20"/>
                <w:szCs w:val="20"/>
                <w:color w:val="auto"/>
              </w:rPr>
            </w:pPr>
            <w:r>
              <w:rPr>
                <w:rFonts w:ascii="Arial" w:cs="Arial" w:eastAsia="Arial" w:hAnsi="Arial"/>
                <w:sz w:val="18"/>
                <w:szCs w:val="18"/>
                <w:color w:val="auto"/>
                <w:w w:val="89"/>
              </w:rPr>
              <w:t>2024</w:t>
            </w:r>
          </w:p>
        </w:tc>
        <w:tc>
          <w:tcPr>
            <w:tcW w:w="1380" w:type="dxa"/>
            <w:vAlign w:val="bottom"/>
            <w:gridSpan w:val="2"/>
          </w:tcPr>
          <w:p>
            <w:pPr>
              <w:jc w:val="right"/>
              <w:ind w:right="100"/>
              <w:spacing w:after="0"/>
              <w:rPr>
                <w:sz w:val="20"/>
                <w:szCs w:val="20"/>
                <w:color w:val="auto"/>
              </w:rPr>
            </w:pPr>
            <w:r>
              <w:rPr>
                <w:rFonts w:ascii="Arial" w:cs="Arial" w:eastAsia="Arial" w:hAnsi="Arial"/>
                <w:sz w:val="18"/>
                <w:szCs w:val="18"/>
                <w:color w:val="auto"/>
              </w:rPr>
              <w:t>59,242</w:t>
            </w:r>
          </w:p>
        </w:tc>
      </w:tr>
      <w:tr>
        <w:trPr>
          <w:trHeight w:val="223"/>
        </w:trPr>
        <w:tc>
          <w:tcPr>
            <w:tcW w:w="856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1,837,169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85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20" w:type="dxa"/>
            <w:vAlign w:val="bottom"/>
          </w:tcPr>
          <w:p>
            <w:pPr>
              <w:jc w:val="right"/>
              <w:ind w:right="90"/>
              <w:spacing w:after="0"/>
              <w:rPr>
                <w:sz w:val="20"/>
                <w:szCs w:val="20"/>
                <w:color w:val="auto"/>
              </w:rPr>
            </w:pPr>
            <w:r>
              <w:rPr>
                <w:rFonts w:ascii="Arial" w:cs="Arial" w:eastAsia="Arial" w:hAnsi="Arial"/>
                <w:sz w:val="18"/>
                <w:szCs w:val="18"/>
                <w:b w:val="1"/>
                <w:bCs w:val="1"/>
                <w:color w:val="auto"/>
                <w:w w:val="79"/>
              </w:rPr>
              <w:t>9.</w:t>
            </w:r>
          </w:p>
        </w:tc>
        <w:tc>
          <w:tcPr>
            <w:tcW w:w="4260" w:type="dxa"/>
            <w:vAlign w:val="bottom"/>
            <w:gridSpan w:val="2"/>
          </w:tcPr>
          <w:p>
            <w:pPr>
              <w:ind w:left="180"/>
              <w:spacing w:after="0"/>
              <w:rPr>
                <w:sz w:val="20"/>
                <w:szCs w:val="20"/>
                <w:color w:val="auto"/>
              </w:rPr>
            </w:pPr>
            <w:r>
              <w:rPr>
                <w:rFonts w:ascii="Arial" w:cs="Arial" w:eastAsia="Arial" w:hAnsi="Arial"/>
                <w:sz w:val="18"/>
                <w:szCs w:val="18"/>
                <w:b w:val="1"/>
                <w:bCs w:val="1"/>
                <w:color w:val="auto"/>
              </w:rPr>
              <w:t>Other liabilities</w:t>
            </w:r>
          </w:p>
        </w:tc>
        <w:tc>
          <w:tcPr>
            <w:tcW w:w="39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3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3960" w:type="dxa"/>
            <w:vAlign w:val="bottom"/>
          </w:tcPr>
          <w:p>
            <w:pPr>
              <w:spacing w:after="0"/>
              <w:rPr>
                <w:sz w:val="24"/>
                <w:szCs w:val="24"/>
                <w:color w:val="auto"/>
              </w:rPr>
            </w:pPr>
          </w:p>
        </w:tc>
        <w:tc>
          <w:tcPr>
            <w:tcW w:w="140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December 31,</w:t>
            </w:r>
          </w:p>
        </w:tc>
        <w:tc>
          <w:tcPr>
            <w:tcW w:w="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80" w:type="dxa"/>
            <w:vAlign w:val="bottom"/>
          </w:tcPr>
          <w:p>
            <w:pPr>
              <w:spacing w:after="0"/>
              <w:rPr>
                <w:sz w:val="20"/>
                <w:szCs w:val="20"/>
                <w:color w:val="auto"/>
              </w:rPr>
            </w:pPr>
          </w:p>
        </w:tc>
        <w:tc>
          <w:tcPr>
            <w:tcW w:w="516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39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5,327</w:t>
            </w: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9,676</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Dividends payable</w:t>
            </w:r>
          </w:p>
        </w:tc>
        <w:tc>
          <w:tcPr>
            <w:tcW w:w="5360" w:type="dxa"/>
            <w:vAlign w:val="bottom"/>
            <w:gridSpan w:val="3"/>
          </w:tcPr>
          <w:p>
            <w:pPr>
              <w:jc w:val="right"/>
              <w:ind w:right="200"/>
              <w:spacing w:after="0"/>
              <w:rPr>
                <w:sz w:val="20"/>
                <w:szCs w:val="20"/>
                <w:color w:val="auto"/>
              </w:rPr>
            </w:pPr>
            <w:r>
              <w:rPr>
                <w:rFonts w:ascii="Arial" w:cs="Arial" w:eastAsia="Arial" w:hAnsi="Arial"/>
                <w:sz w:val="18"/>
                <w:szCs w:val="18"/>
                <w:color w:val="auto"/>
              </w:rPr>
              <w:t>145</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146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Accounts payable</w:t>
            </w:r>
          </w:p>
        </w:tc>
        <w:tc>
          <w:tcPr>
            <w:tcW w:w="53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13,138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11,096</w:t>
            </w: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Others</w:t>
            </w:r>
          </w:p>
        </w:tc>
        <w:tc>
          <w:tcPr>
            <w:tcW w:w="5160" w:type="dxa"/>
            <w:vAlign w:val="bottom"/>
            <w:gridSpan w:val="2"/>
          </w:tcPr>
          <w:p>
            <w:pPr>
              <w:jc w:val="right"/>
              <w:spacing w:after="0"/>
              <w:rPr>
                <w:sz w:val="20"/>
                <w:szCs w:val="20"/>
                <w:color w:val="auto"/>
              </w:rPr>
            </w:pPr>
            <w:r>
              <w:rPr>
                <w:rFonts w:ascii="Arial" w:cs="Arial" w:eastAsia="Arial" w:hAnsi="Arial"/>
                <w:sz w:val="18"/>
                <w:szCs w:val="18"/>
                <w:color w:val="auto"/>
              </w:rPr>
              <w:t>2,598</w:t>
            </w:r>
          </w:p>
        </w:tc>
        <w:tc>
          <w:tcPr>
            <w:tcW w:w="200" w:type="dxa"/>
            <w:vAlign w:val="bottom"/>
          </w:tcPr>
          <w:p>
            <w:pPr>
              <w:spacing w:after="0"/>
              <w:rPr>
                <w:sz w:val="19"/>
                <w:szCs w:val="19"/>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3,426</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80" w:type="dxa"/>
            <w:vAlign w:val="bottom"/>
            <w:tcBorders>
              <w:top w:val="single" w:sz="8" w:color="CCEEFF"/>
              <w:bottom w:val="single" w:sz="8" w:color="CCEEFF"/>
            </w:tcBorders>
            <w:shd w:val="clear" w:color="auto" w:fill="CCEEFF"/>
          </w:tcPr>
          <w:p>
            <w:pPr>
              <w:spacing w:after="0"/>
              <w:rPr>
                <w:sz w:val="19"/>
                <w:szCs w:val="19"/>
                <w:color w:val="auto"/>
              </w:rPr>
            </w:pPr>
          </w:p>
        </w:tc>
        <w:tc>
          <w:tcPr>
            <w:tcW w:w="39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21,208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24,344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3960" w:type="dxa"/>
            <w:vAlign w:val="bottom"/>
            <w:vMerge w:val="restart"/>
          </w:tcPr>
          <w:p>
            <w:pPr>
              <w:jc w:val="right"/>
              <w:ind w:right="2610"/>
              <w:spacing w:after="0"/>
              <w:rPr>
                <w:sz w:val="20"/>
                <w:szCs w:val="20"/>
                <w:color w:val="auto"/>
              </w:rPr>
            </w:pPr>
            <w:r>
              <w:rPr>
                <w:rFonts w:ascii="Arial" w:cs="Arial" w:eastAsia="Arial" w:hAnsi="Arial"/>
                <w:sz w:val="18"/>
                <w:szCs w:val="18"/>
                <w:color w:val="auto"/>
              </w:rPr>
              <w:t>44</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3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80" w:type="dxa"/>
            <w:vAlign w:val="bottom"/>
            <w:tcBorders>
              <w:bottom w:val="single" w:sz="8" w:color="auto"/>
            </w:tcBorders>
          </w:tcPr>
          <w:p>
            <w:pPr>
              <w:spacing w:after="0"/>
              <w:rPr>
                <w:sz w:val="24"/>
                <w:szCs w:val="24"/>
                <w:color w:val="auto"/>
              </w:rPr>
            </w:pPr>
          </w:p>
        </w:tc>
        <w:tc>
          <w:tcPr>
            <w:tcW w:w="396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type w:val="continuous"/>
        </w:sectPr>
      </w:pPr>
    </w:p>
    <w:bookmarkStart w:id="46" w:name="page47"/>
    <w:bookmarkEnd w:id="4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pacing w:after="0" w:line="166" w:lineRule="exact"/>
        <w:rPr>
          <w:sz w:val="20"/>
          <w:szCs w:val="20"/>
          <w:color w:val="auto"/>
        </w:rPr>
      </w:pPr>
    </w:p>
    <w:tbl>
      <w:tblPr>
        <w:tblLayout w:type="fixed"/>
        <w:tblInd w:w="50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5240" w:type="dxa"/>
            <w:vAlign w:val="bottom"/>
          </w:tcPr>
          <w:p>
            <w:pPr>
              <w:spacing w:after="0"/>
              <w:rPr>
                <w:sz w:val="19"/>
                <w:szCs w:val="19"/>
                <w:color w:val="auto"/>
              </w:rPr>
            </w:pPr>
          </w:p>
        </w:tc>
        <w:tc>
          <w:tcPr>
            <w:tcW w:w="28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Three months ended</w:t>
            </w:r>
          </w:p>
        </w:tc>
        <w:tc>
          <w:tcPr>
            <w:tcW w:w="2640" w:type="dxa"/>
            <w:vAlign w:val="bottom"/>
            <w:gridSpan w:val="5"/>
          </w:tcPr>
          <w:p>
            <w:pPr>
              <w:jc w:val="center"/>
              <w:ind w:right="120"/>
              <w:spacing w:after="0"/>
              <w:rPr>
                <w:sz w:val="20"/>
                <w:szCs w:val="20"/>
                <w:color w:val="auto"/>
              </w:rPr>
            </w:pPr>
            <w:r>
              <w:rPr>
                <w:rFonts w:ascii="Arial" w:cs="Arial" w:eastAsia="Arial" w:hAnsi="Arial"/>
                <w:sz w:val="18"/>
                <w:szCs w:val="18"/>
                <w:b w:val="1"/>
                <w:bCs w:val="1"/>
                <w:color w:val="auto"/>
                <w:w w:val="88"/>
              </w:rPr>
              <w:t>Nine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240" w:type="dxa"/>
            <w:vAlign w:val="bottom"/>
          </w:tcPr>
          <w:p>
            <w:pPr>
              <w:spacing w:after="0"/>
              <w:rPr>
                <w:sz w:val="20"/>
                <w:szCs w:val="20"/>
                <w:color w:val="auto"/>
              </w:rPr>
            </w:pPr>
          </w:p>
        </w:tc>
        <w:tc>
          <w:tcPr>
            <w:tcW w:w="2820" w:type="dxa"/>
            <w:vAlign w:val="bottom"/>
            <w:gridSpan w:val="4"/>
          </w:tcPr>
          <w:p>
            <w:pPr>
              <w:jc w:val="center"/>
              <w:ind w:right="240"/>
              <w:spacing w:after="0"/>
              <w:rPr>
                <w:sz w:val="20"/>
                <w:szCs w:val="20"/>
                <w:color w:val="auto"/>
              </w:rPr>
            </w:pPr>
            <w:r>
              <w:rPr>
                <w:rFonts w:ascii="Arial" w:cs="Arial" w:eastAsia="Arial" w:hAnsi="Arial"/>
                <w:sz w:val="18"/>
                <w:szCs w:val="18"/>
                <w:b w:val="1"/>
                <w:bCs w:val="1"/>
                <w:color w:val="auto"/>
                <w:w w:val="89"/>
              </w:rPr>
              <w:t>September 30,</w:t>
            </w:r>
          </w:p>
        </w:tc>
        <w:tc>
          <w:tcPr>
            <w:tcW w:w="264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9"/>
              </w:rPr>
              <w:t>September 30,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24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top w:val="single" w:sz="8" w:color="auto"/>
              <w:bottom w:val="single" w:sz="8" w:color="CCEEFF"/>
            </w:tcBorders>
          </w:tcPr>
          <w:p>
            <w:pPr>
              <w:spacing w:after="0"/>
              <w:rPr>
                <w:sz w:val="19"/>
                <w:szCs w:val="19"/>
                <w:color w:val="auto"/>
              </w:rPr>
            </w:pPr>
          </w:p>
        </w:tc>
        <w:tc>
          <w:tcPr>
            <w:tcW w:w="116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27,991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37,372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73,701</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80,758</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0.72</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0.96</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1.89</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tcPr>
          <w:p>
            <w:pPr>
              <w:spacing w:after="0"/>
              <w:rPr>
                <w:sz w:val="20"/>
                <w:szCs w:val="20"/>
                <w:color w:val="auto"/>
              </w:rPr>
            </w:pPr>
            <w:r>
              <w:rPr>
                <w:rFonts w:ascii="Arial" w:cs="Arial" w:eastAsia="Arial" w:hAnsi="Arial"/>
                <w:sz w:val="18"/>
                <w:szCs w:val="18"/>
                <w:color w:val="auto"/>
              </w:rPr>
              <w:t>Diluted earnings per share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0.71</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0.96</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1.88</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2.07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tcPr>
          <w:p>
            <w:pPr>
              <w:spacing w:after="0"/>
              <w:rPr>
                <w:sz w:val="20"/>
                <w:szCs w:val="20"/>
                <w:color w:val="auto"/>
              </w:rPr>
            </w:pPr>
            <w:r>
              <w:rPr>
                <w:rFonts w:ascii="Arial" w:cs="Arial" w:eastAsia="Arial" w:hAnsi="Arial"/>
                <w:sz w:val="18"/>
                <w:szCs w:val="18"/>
                <w:color w:val="auto"/>
                <w:w w:val="96"/>
              </w:rPr>
              <w:t>Weighted average common shares outstanding - applicable to basic</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39,102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38,969</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39,059</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38,909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2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tcPr>
          <w:p>
            <w:pPr>
              <w:spacing w:after="0"/>
              <w:rPr>
                <w:sz w:val="20"/>
                <w:szCs w:val="20"/>
                <w:color w:val="auto"/>
              </w:rPr>
            </w:pPr>
            <w:r>
              <w:rPr>
                <w:rFonts w:ascii="Arial" w:cs="Arial" w:eastAsia="Arial" w:hAnsi="Arial"/>
                <w:sz w:val="18"/>
                <w:szCs w:val="18"/>
                <w:color w:val="auto"/>
              </w:rPr>
              <w:t>Effect of diluted securities: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shd w:val="clear" w:color="auto" w:fill="CCEEFF"/>
          </w:tcPr>
          <w:p>
            <w:pPr>
              <w:spacing w:after="0"/>
              <w:rPr>
                <w:sz w:val="20"/>
                <w:szCs w:val="20"/>
                <w:color w:val="auto"/>
              </w:rPr>
            </w:pPr>
            <w:r>
              <w:rPr>
                <w:rFonts w:ascii="Arial" w:cs="Arial" w:eastAsia="Arial" w:hAnsi="Arial"/>
                <w:sz w:val="18"/>
                <w:szCs w:val="18"/>
                <w:color w:val="auto"/>
              </w:rPr>
              <w:t>Stock options and restricted stock units plans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126</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119</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240" w:type="dxa"/>
            <w:vAlign w:val="bottom"/>
            <w:vMerge w:val="restart"/>
          </w:tcPr>
          <w:p>
            <w:pPr>
              <w:spacing w:after="0" w:line="201" w:lineRule="exact"/>
              <w:rPr>
                <w:sz w:val="20"/>
                <w:szCs w:val="20"/>
                <w:color w:val="auto"/>
              </w:rPr>
            </w:pPr>
            <w:r>
              <w:rPr>
                <w:rFonts w:ascii="Arial" w:cs="Arial" w:eastAsia="Arial" w:hAnsi="Arial"/>
                <w:sz w:val="18"/>
                <w:szCs w:val="18"/>
                <w:color w:val="auto"/>
                <w:w w:val="94"/>
              </w:rPr>
              <w:t>Adjusted weighted average common shares outstanding applicable to</w:t>
            </w:r>
          </w:p>
        </w:tc>
        <w:tc>
          <w:tcPr>
            <w:tcW w:w="11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shd w:val="clear" w:color="auto" w:fill="000000"/>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2"/>
        </w:trPr>
        <w:tc>
          <w:tcPr>
            <w:tcW w:w="20" w:type="dxa"/>
            <w:vAlign w:val="bottom"/>
          </w:tcPr>
          <w:p>
            <w:pPr>
              <w:spacing w:after="0"/>
              <w:rPr>
                <w:sz w:val="15"/>
                <w:szCs w:val="15"/>
                <w:color w:val="auto"/>
              </w:rPr>
            </w:pPr>
          </w:p>
        </w:tc>
        <w:tc>
          <w:tcPr>
            <w:tcW w:w="5240" w:type="dxa"/>
            <w:vAlign w:val="bottom"/>
            <w:vMerge w:val="continue"/>
          </w:tcPr>
          <w:p>
            <w:pPr>
              <w:spacing w:after="0"/>
              <w:rPr>
                <w:sz w:val="15"/>
                <w:szCs w:val="15"/>
                <w:color w:val="auto"/>
              </w:rPr>
            </w:pPr>
          </w:p>
        </w:tc>
        <w:tc>
          <w:tcPr>
            <w:tcW w:w="140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rPr>
              <w:t>39,225</w:t>
            </w:r>
          </w:p>
        </w:tc>
        <w:tc>
          <w:tcPr>
            <w:tcW w:w="1420" w:type="dxa"/>
            <w:vAlign w:val="bottom"/>
            <w:gridSpan w:val="2"/>
            <w:vMerge w:val="restart"/>
          </w:tcPr>
          <w:p>
            <w:pPr>
              <w:jc w:val="right"/>
              <w:ind w:right="220"/>
              <w:spacing w:after="0"/>
              <w:rPr>
                <w:sz w:val="20"/>
                <w:szCs w:val="20"/>
                <w:color w:val="auto"/>
              </w:rPr>
            </w:pPr>
            <w:r>
              <w:rPr>
                <w:rFonts w:ascii="Arial" w:cs="Arial" w:eastAsia="Arial" w:hAnsi="Arial"/>
                <w:sz w:val="18"/>
                <w:szCs w:val="18"/>
                <w:b w:val="1"/>
                <w:bCs w:val="1"/>
                <w:color w:val="auto"/>
              </w:rPr>
              <w:t>39,095</w:t>
            </w:r>
          </w:p>
        </w:tc>
        <w:tc>
          <w:tcPr>
            <w:tcW w:w="1380" w:type="dxa"/>
            <w:vAlign w:val="bottom"/>
            <w:gridSpan w:val="2"/>
            <w:vMerge w:val="restart"/>
          </w:tcPr>
          <w:p>
            <w:pPr>
              <w:jc w:val="right"/>
              <w:ind w:right="200"/>
              <w:spacing w:after="0"/>
              <w:rPr>
                <w:sz w:val="20"/>
                <w:szCs w:val="20"/>
                <w:color w:val="auto"/>
              </w:rPr>
            </w:pPr>
            <w:r>
              <w:rPr>
                <w:rFonts w:ascii="Arial" w:cs="Arial" w:eastAsia="Arial" w:hAnsi="Arial"/>
                <w:sz w:val="18"/>
                <w:szCs w:val="18"/>
                <w:b w:val="1"/>
                <w:bCs w:val="1"/>
                <w:color w:val="auto"/>
              </w:rPr>
              <w:t>39,178</w:t>
            </w:r>
          </w:p>
        </w:tc>
        <w:tc>
          <w:tcPr>
            <w:tcW w:w="1180" w:type="dxa"/>
            <w:vAlign w:val="bottom"/>
            <w:gridSpan w:val="2"/>
            <w:vMerge w:val="restart"/>
          </w:tcPr>
          <w:p>
            <w:pPr>
              <w:jc w:val="right"/>
              <w:ind w:right="20"/>
              <w:spacing w:after="0"/>
              <w:rPr>
                <w:sz w:val="20"/>
                <w:szCs w:val="20"/>
                <w:color w:val="auto"/>
              </w:rPr>
            </w:pPr>
            <w:r>
              <w:rPr>
                <w:rFonts w:ascii="Arial" w:cs="Arial" w:eastAsia="Arial" w:hAnsi="Arial"/>
                <w:sz w:val="18"/>
                <w:szCs w:val="18"/>
                <w:b w:val="1"/>
                <w:bCs w:val="1"/>
                <w:color w:val="auto"/>
              </w:rPr>
              <w:t>39,080</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5240" w:type="dxa"/>
            <w:vAlign w:val="bottom"/>
          </w:tcPr>
          <w:p>
            <w:pPr>
              <w:ind w:left="140"/>
              <w:spacing w:after="0"/>
              <w:rPr>
                <w:sz w:val="20"/>
                <w:szCs w:val="20"/>
                <w:color w:val="auto"/>
              </w:rPr>
            </w:pPr>
            <w:r>
              <w:rPr>
                <w:rFonts w:ascii="Arial" w:cs="Arial" w:eastAsia="Arial" w:hAnsi="Arial"/>
                <w:sz w:val="18"/>
                <w:szCs w:val="18"/>
                <w:color w:val="auto"/>
              </w:rPr>
              <w:t>diluted EPS</w:t>
            </w:r>
          </w:p>
        </w:tc>
        <w:tc>
          <w:tcPr>
            <w:tcW w:w="1400" w:type="dxa"/>
            <w:vAlign w:val="bottom"/>
            <w:gridSpan w:val="2"/>
            <w:vMerge w:val="continue"/>
          </w:tcPr>
          <w:p>
            <w:pPr>
              <w:spacing w:after="0"/>
              <w:rPr>
                <w:sz w:val="18"/>
                <w:szCs w:val="18"/>
                <w:color w:val="auto"/>
              </w:rPr>
            </w:pPr>
          </w:p>
        </w:tc>
        <w:tc>
          <w:tcPr>
            <w:tcW w:w="1420" w:type="dxa"/>
            <w:vAlign w:val="bottom"/>
            <w:gridSpan w:val="2"/>
            <w:vMerge w:val="continue"/>
          </w:tcPr>
          <w:p>
            <w:pPr>
              <w:spacing w:after="0"/>
              <w:rPr>
                <w:sz w:val="18"/>
                <w:szCs w:val="18"/>
                <w:color w:val="auto"/>
              </w:rPr>
            </w:pPr>
          </w:p>
        </w:tc>
        <w:tc>
          <w:tcPr>
            <w:tcW w:w="1380" w:type="dxa"/>
            <w:vAlign w:val="bottom"/>
            <w:gridSpan w:val="2"/>
            <w:vMerge w:val="continue"/>
          </w:tcPr>
          <w:p>
            <w:pPr>
              <w:spacing w:after="0"/>
              <w:rPr>
                <w:sz w:val="18"/>
                <w:szCs w:val="18"/>
                <w:color w:val="auto"/>
              </w:rPr>
            </w:pPr>
          </w:p>
        </w:tc>
        <w:tc>
          <w:tcPr>
            <w:tcW w:w="1180" w:type="dxa"/>
            <w:vAlign w:val="bottom"/>
            <w:gridSpan w:val="2"/>
            <w:vMerge w:val="continue"/>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24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right="9300" w:hanging="492"/>
        <w:spacing w:after="0" w:line="566" w:lineRule="auto"/>
        <w:tabs>
          <w:tab w:leader="none" w:pos="500" w:val="left"/>
        </w:tabs>
        <w:numPr>
          <w:ilvl w:val="0"/>
          <w:numId w:val="47"/>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Common stock</w:t>
      </w:r>
    </w:p>
    <w:p>
      <w:pPr>
        <w:ind w:left="500"/>
        <w:spacing w:after="0"/>
        <w:rPr>
          <w:rFonts w:ascii="Arial" w:cs="Arial" w:eastAsia="Arial" w:hAnsi="Arial"/>
          <w:sz w:val="16"/>
          <w:szCs w:val="16"/>
          <w:b w:val="1"/>
          <w:bCs w:val="1"/>
          <w:color w:val="auto"/>
        </w:rPr>
      </w:pPr>
      <w:r>
        <w:rPr>
          <w:rFonts w:ascii="Arial" w:cs="Arial" w:eastAsia="Arial" w:hAnsi="Arial"/>
          <w:sz w:val="18"/>
          <w:szCs w:val="18"/>
          <w:color w:val="auto"/>
        </w:rPr>
        <w:t>The Bank’s common stock is divided into four categories:</w:t>
      </w:r>
    </w:p>
    <w:p>
      <w:pPr>
        <w:spacing w:after="0" w:line="225" w:lineRule="exact"/>
        <w:rPr>
          <w:rFonts w:ascii="Arial" w:cs="Arial" w:eastAsia="Arial" w:hAnsi="Arial"/>
          <w:sz w:val="16"/>
          <w:szCs w:val="16"/>
          <w:b w:val="1"/>
          <w:bCs w:val="1"/>
          <w:color w:val="auto"/>
        </w:rPr>
      </w:pPr>
    </w:p>
    <w:p>
      <w:pPr>
        <w:ind w:left="820" w:hanging="326"/>
        <w:spacing w:after="0" w:line="258" w:lineRule="auto"/>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A”; shares may only be issued to Latin American Central Banks or banks in which the state or other government agency is the majority shareholder.</w:t>
      </w:r>
    </w:p>
    <w:p>
      <w:pPr>
        <w:spacing w:after="0" w:line="1" w:lineRule="exact"/>
        <w:rPr>
          <w:rFonts w:ascii="Arial" w:cs="Arial" w:eastAsia="Arial" w:hAnsi="Arial"/>
          <w:sz w:val="18"/>
          <w:szCs w:val="18"/>
          <w:color w:val="auto"/>
        </w:rPr>
      </w:pPr>
    </w:p>
    <w:p>
      <w:pPr>
        <w:ind w:left="820" w:hanging="326"/>
        <w:spacing w:after="0"/>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B”; shares may only be issued to banks or financial institutions.</w:t>
      </w:r>
    </w:p>
    <w:p>
      <w:pPr>
        <w:spacing w:after="0" w:line="9" w:lineRule="exact"/>
        <w:rPr>
          <w:rFonts w:ascii="Arial" w:cs="Arial" w:eastAsia="Arial" w:hAnsi="Arial"/>
          <w:sz w:val="18"/>
          <w:szCs w:val="18"/>
          <w:color w:val="auto"/>
        </w:rPr>
      </w:pPr>
    </w:p>
    <w:p>
      <w:pPr>
        <w:ind w:left="820" w:hanging="326"/>
        <w:spacing w:after="0"/>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E”; shares may be issued to any person whether a natural person or a legal entity.</w:t>
      </w:r>
    </w:p>
    <w:p>
      <w:pPr>
        <w:spacing w:after="0" w:line="9" w:lineRule="exact"/>
        <w:rPr>
          <w:rFonts w:ascii="Arial" w:cs="Arial" w:eastAsia="Arial" w:hAnsi="Arial"/>
          <w:sz w:val="18"/>
          <w:szCs w:val="18"/>
          <w:color w:val="auto"/>
        </w:rPr>
      </w:pPr>
    </w:p>
    <w:p>
      <w:pPr>
        <w:ind w:left="820" w:hanging="326"/>
        <w:spacing w:after="0" w:line="261" w:lineRule="auto"/>
        <w:tabs>
          <w:tab w:leader="none" w:pos="820" w:val="left"/>
        </w:tabs>
        <w:numPr>
          <w:ilvl w:val="1"/>
          <w:numId w:val="47"/>
        </w:numPr>
        <w:rPr>
          <w:rFonts w:ascii="Arial" w:cs="Arial" w:eastAsia="Arial" w:hAnsi="Arial"/>
          <w:sz w:val="18"/>
          <w:szCs w:val="18"/>
          <w:color w:val="auto"/>
        </w:rPr>
      </w:pPr>
      <w:r>
        <w:rPr>
          <w:rFonts w:ascii="Arial" w:cs="Arial" w:eastAsia="Arial" w:hAnsi="Arial"/>
          <w:sz w:val="18"/>
          <w:szCs w:val="18"/>
          <w:color w:val="auto"/>
        </w:rPr>
        <w:t>“Class F”; may only be issued to state entities and agencies of non-Latin American countries, including, among others, central banks and majority state-owned banks in those countries, and multilateral financial institutions either international or regional institutions.</w:t>
      </w:r>
    </w:p>
    <w:p>
      <w:pPr>
        <w:spacing w:after="0" w:line="184" w:lineRule="exact"/>
        <w:rPr>
          <w:sz w:val="20"/>
          <w:szCs w:val="20"/>
          <w:color w:val="auto"/>
        </w:rPr>
      </w:pPr>
    </w:p>
    <w:p>
      <w:pPr>
        <w:ind w:left="500"/>
        <w:spacing w:after="0" w:line="277" w:lineRule="auto"/>
        <w:rPr>
          <w:sz w:val="20"/>
          <w:szCs w:val="20"/>
          <w:color w:val="auto"/>
        </w:rPr>
      </w:pPr>
      <w:r>
        <w:rPr>
          <w:rFonts w:ascii="Arial" w:cs="Arial" w:eastAsia="Arial" w:hAnsi="Arial"/>
          <w:sz w:val="18"/>
          <w:szCs w:val="18"/>
          <w:color w:val="auto"/>
        </w:rPr>
        <w:t>The holders of “Class B” shares have the right to convert or exchange their “Class B” shares, at any time, and without restriction, for “Class E” shares, at a rate of one-to-one.</w:t>
      </w:r>
    </w:p>
    <w:p>
      <w:pPr>
        <w:spacing w:after="0" w:line="38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7" w:name="page48"/>
    <w:bookmarkEnd w:id="4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right="8380" w:hanging="492"/>
        <w:spacing w:after="0" w:line="566" w:lineRule="auto"/>
        <w:tabs>
          <w:tab w:leader="none" w:pos="500" w:val="left"/>
        </w:tabs>
        <w:numPr>
          <w:ilvl w:val="0"/>
          <w:numId w:val="48"/>
        </w:numPr>
        <w:rPr>
          <w:rFonts w:ascii="Arial" w:cs="Arial" w:eastAsia="Arial" w:hAnsi="Arial"/>
          <w:sz w:val="16"/>
          <w:szCs w:val="16"/>
          <w:b w:val="1"/>
          <w:bCs w:val="1"/>
          <w:color w:val="auto"/>
        </w:rPr>
      </w:pPr>
      <w:r>
        <w:rPr>
          <w:rFonts w:ascii="Arial" w:cs="Arial" w:eastAsia="Arial" w:hAnsi="Arial"/>
          <w:sz w:val="16"/>
          <w:szCs w:val="16"/>
          <w:b w:val="1"/>
          <w:bCs w:val="1"/>
          <w:color w:val="auto"/>
        </w:rPr>
        <w:t>Capital and Reserves (continued) Common stock (continued)</w:t>
      </w:r>
    </w:p>
    <w:p>
      <w:pPr>
        <w:ind w:left="50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 provides detailed information on the Bank’s common stock activity per class for each of the periods in the three-month period ended September 30, 2016:</w:t>
      </w:r>
    </w:p>
    <w:p>
      <w:pPr>
        <w:spacing w:after="0" w:line="170" w:lineRule="exact"/>
        <w:rPr>
          <w:sz w:val="20"/>
          <w:szCs w:val="20"/>
          <w:color w:val="auto"/>
        </w:rPr>
      </w:pPr>
    </w:p>
    <w:tbl>
      <w:tblPr>
        <w:tblLayout w:type="fixed"/>
        <w:tblInd w:w="500" w:type="dxa"/>
        <w:tblCellMar>
          <w:top w:w="0" w:type="dxa"/>
          <w:left w:w="0" w:type="dxa"/>
          <w:bottom w:w="0" w:type="dxa"/>
          <w:right w:w="0" w:type="dxa"/>
        </w:tblCellMar>
      </w:tblPr>
      <w:tr>
        <w:trPr>
          <w:trHeight w:val="244"/>
        </w:trPr>
        <w:tc>
          <w:tcPr>
            <w:tcW w:w="3860" w:type="dxa"/>
            <w:vAlign w:val="bottom"/>
            <w:gridSpan w:val="2"/>
          </w:tcPr>
          <w:p>
            <w:pPr>
              <w:spacing w:after="0"/>
              <w:rPr>
                <w:sz w:val="20"/>
                <w:szCs w:val="20"/>
                <w:color w:val="auto"/>
              </w:rPr>
            </w:pPr>
            <w:r>
              <w:rPr>
                <w:rFonts w:ascii="Arial" w:cs="Arial" w:eastAsia="Arial" w:hAnsi="Arial"/>
                <w:sz w:val="18"/>
                <w:szCs w:val="18"/>
                <w:color w:val="auto"/>
              </w:rPr>
              <w:t>(Share units)</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“Clase A”</w:t>
            </w:r>
          </w:p>
        </w:tc>
        <w:tc>
          <w:tcPr>
            <w:tcW w:w="14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“Clase B”</w:t>
            </w:r>
          </w:p>
        </w:tc>
        <w:tc>
          <w:tcPr>
            <w:tcW w:w="1420" w:type="dxa"/>
            <w:vAlign w:val="bottom"/>
            <w:gridSpan w:val="2"/>
          </w:tcPr>
          <w:p>
            <w:pPr>
              <w:ind w:left="220"/>
              <w:spacing w:after="0"/>
              <w:rPr>
                <w:sz w:val="20"/>
                <w:szCs w:val="20"/>
                <w:color w:val="auto"/>
              </w:rPr>
            </w:pPr>
            <w:r>
              <w:rPr>
                <w:rFonts w:ascii="Arial" w:cs="Arial" w:eastAsia="Arial" w:hAnsi="Arial"/>
                <w:sz w:val="18"/>
                <w:szCs w:val="18"/>
                <w:b w:val="1"/>
                <w:bCs w:val="1"/>
                <w:color w:val="auto"/>
              </w:rPr>
              <w:t>“Clase E”</w:t>
            </w:r>
          </w:p>
        </w:tc>
        <w:tc>
          <w:tcPr>
            <w:tcW w:w="1380" w:type="dxa"/>
            <w:vAlign w:val="bottom"/>
            <w:gridSpan w:val="2"/>
          </w:tcPr>
          <w:p>
            <w:pPr>
              <w:ind w:left="200"/>
              <w:spacing w:after="0"/>
              <w:rPr>
                <w:sz w:val="20"/>
                <w:szCs w:val="20"/>
                <w:color w:val="auto"/>
              </w:rPr>
            </w:pPr>
            <w:r>
              <w:rPr>
                <w:rFonts w:ascii="Arial" w:cs="Arial" w:eastAsia="Arial" w:hAnsi="Arial"/>
                <w:sz w:val="18"/>
                <w:szCs w:val="18"/>
                <w:b w:val="1"/>
                <w:bCs w:val="1"/>
                <w:color w:val="auto"/>
              </w:rPr>
              <w:t>“Clase F”</w:t>
            </w: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Authorized</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40,000,000</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100,000,000</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280,000,000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b w:val="1"/>
                <w:bCs w:val="1"/>
                <w:color w:val="auto"/>
              </w:rPr>
              <w:t>Outstanding at January 1, 2015</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2,479,050</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29,956,100</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38,777,339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Exchange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(4,581)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4,581</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70,358</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70,358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64,208</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64,208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September 30, 2015</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30,152,247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38,968,905</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8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31, 2016</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6,342,189</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2,474,469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30,152,247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38,968,905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57,000</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57,000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shd w:val="clear" w:color="auto" w:fill="CCEEFF"/>
          </w:tcPr>
          <w:p>
            <w:pPr>
              <w:spacing w:after="0"/>
              <w:rPr>
                <w:sz w:val="20"/>
                <w:szCs w:val="20"/>
                <w:color w:val="auto"/>
              </w:rPr>
            </w:pPr>
            <w:r>
              <w:rPr>
                <w:rFonts w:ascii="Arial" w:cs="Arial" w:eastAsia="Arial" w:hAnsi="Arial"/>
                <w:sz w:val="18"/>
                <w:szCs w:val="18"/>
                <w:color w:val="auto"/>
              </w:rPr>
              <w:t>Exercised stock options - compensation plans</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68,409</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68,409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4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65,358</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65,358</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8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September 30, 2016</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6,342,189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2,474,469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30,343,014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39,159,672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spacing w:after="0"/>
        <w:rPr>
          <w:sz w:val="20"/>
          <w:szCs w:val="20"/>
          <w:color w:val="auto"/>
        </w:rPr>
      </w:pPr>
      <w:r>
        <w:rPr>
          <w:rFonts w:ascii="Arial" w:cs="Arial" w:eastAsia="Arial" w:hAnsi="Arial"/>
          <w:sz w:val="17"/>
          <w:szCs w:val="17"/>
          <w:color w:val="auto"/>
        </w:rPr>
        <w:t>The following table presents information regarding shares repurchased but not retired by the Bank and accordingly classified as treasury stock:</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00" w:type="dxa"/>
            <w:vAlign w:val="bottom"/>
          </w:tcPr>
          <w:p>
            <w:pPr>
              <w:spacing w:after="0"/>
              <w:rPr>
                <w:sz w:val="20"/>
                <w:szCs w:val="20"/>
                <w:color w:val="auto"/>
              </w:rPr>
            </w:pPr>
          </w:p>
        </w:tc>
        <w:tc>
          <w:tcPr>
            <w:tcW w:w="3120" w:type="dxa"/>
            <w:vAlign w:val="bottom"/>
          </w:tcPr>
          <w:p>
            <w:pPr>
              <w:spacing w:after="0"/>
              <w:rPr>
                <w:sz w:val="20"/>
                <w:szCs w:val="20"/>
                <w:color w:val="auto"/>
              </w:rPr>
            </w:pPr>
          </w:p>
        </w:tc>
        <w:tc>
          <w:tcPr>
            <w:tcW w:w="1940" w:type="dxa"/>
            <w:vAlign w:val="bottom"/>
            <w:gridSpan w:val="4"/>
          </w:tcPr>
          <w:p>
            <w:pPr>
              <w:jc w:val="right"/>
              <w:ind w:right="700"/>
              <w:spacing w:after="0"/>
              <w:rPr>
                <w:sz w:val="20"/>
                <w:szCs w:val="20"/>
                <w:color w:val="auto"/>
              </w:rPr>
            </w:pPr>
            <w:r>
              <w:rPr>
                <w:rFonts w:ascii="Arial" w:cs="Arial" w:eastAsia="Arial" w:hAnsi="Arial"/>
                <w:sz w:val="18"/>
                <w:szCs w:val="18"/>
                <w:b w:val="1"/>
                <w:bCs w:val="1"/>
                <w:color w:val="auto"/>
              </w:rPr>
              <w:t>“Class A”</w:t>
            </w:r>
          </w:p>
        </w:tc>
        <w:tc>
          <w:tcPr>
            <w:tcW w:w="1880" w:type="dxa"/>
            <w:vAlign w:val="bottom"/>
            <w:gridSpan w:val="4"/>
          </w:tcPr>
          <w:p>
            <w:pPr>
              <w:jc w:val="right"/>
              <w:ind w:right="660"/>
              <w:spacing w:after="0"/>
              <w:rPr>
                <w:sz w:val="20"/>
                <w:szCs w:val="20"/>
                <w:color w:val="auto"/>
              </w:rPr>
            </w:pPr>
            <w:r>
              <w:rPr>
                <w:rFonts w:ascii="Arial" w:cs="Arial" w:eastAsia="Arial" w:hAnsi="Arial"/>
                <w:sz w:val="18"/>
                <w:szCs w:val="18"/>
                <w:b w:val="1"/>
                <w:bCs w:val="1"/>
                <w:color w:val="auto"/>
              </w:rPr>
              <w:t>“Class B”</w:t>
            </w:r>
          </w:p>
        </w:tc>
        <w:tc>
          <w:tcPr>
            <w:tcW w:w="1880" w:type="dxa"/>
            <w:vAlign w:val="bottom"/>
            <w:gridSpan w:val="4"/>
          </w:tcPr>
          <w:p>
            <w:pPr>
              <w:jc w:val="right"/>
              <w:ind w:right="620"/>
              <w:spacing w:after="0"/>
              <w:rPr>
                <w:sz w:val="20"/>
                <w:szCs w:val="20"/>
                <w:color w:val="auto"/>
              </w:rPr>
            </w:pPr>
            <w:r>
              <w:rPr>
                <w:rFonts w:ascii="Arial" w:cs="Arial" w:eastAsia="Arial" w:hAnsi="Arial"/>
                <w:sz w:val="18"/>
                <w:szCs w:val="18"/>
                <w:b w:val="1"/>
                <w:bCs w:val="1"/>
                <w:color w:val="auto"/>
              </w:rPr>
              <w:t>“Class E”</w:t>
            </w:r>
          </w:p>
        </w:tc>
        <w:tc>
          <w:tcPr>
            <w:tcW w:w="60" w:type="dxa"/>
            <w:vAlign w:val="bottom"/>
          </w:tcPr>
          <w:p>
            <w:pPr>
              <w:spacing w:after="0"/>
              <w:rPr>
                <w:sz w:val="20"/>
                <w:szCs w:val="20"/>
                <w:color w:val="auto"/>
              </w:rPr>
            </w:pPr>
          </w:p>
        </w:tc>
        <w:tc>
          <w:tcPr>
            <w:tcW w:w="1840" w:type="dxa"/>
            <w:vAlign w:val="bottom"/>
            <w:gridSpan w:val="4"/>
          </w:tcPr>
          <w:p>
            <w:pPr>
              <w:jc w:val="right"/>
              <w:ind w:right="780"/>
              <w:spacing w:after="0"/>
              <w:rPr>
                <w:sz w:val="20"/>
                <w:szCs w:val="20"/>
                <w:color w:val="auto"/>
              </w:rPr>
            </w:pPr>
            <w:r>
              <w:rPr>
                <w:rFonts w:ascii="Arial" w:cs="Arial" w:eastAsia="Arial" w:hAnsi="Arial"/>
                <w:sz w:val="18"/>
                <w:szCs w:val="18"/>
                <w:b w:val="1"/>
                <w:bCs w:val="1"/>
                <w:color w:val="auto"/>
              </w:rPr>
              <w:t>Total</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3120" w:type="dxa"/>
            <w:vAlign w:val="bottom"/>
          </w:tcPr>
          <w:p>
            <w:pPr>
              <w:spacing w:after="0"/>
              <w:rPr>
                <w:sz w:val="19"/>
                <w:szCs w:val="19"/>
                <w:color w:val="auto"/>
              </w:rPr>
            </w:pPr>
          </w:p>
        </w:tc>
        <w:tc>
          <w:tcPr>
            <w:tcW w:w="960" w:type="dxa"/>
            <w:vAlign w:val="bottom"/>
            <w:tcBorders>
              <w:top w:val="single" w:sz="8" w:color="auto"/>
            </w:tcBorders>
            <w:gridSpan w:val="2"/>
          </w:tcPr>
          <w:p>
            <w:pPr>
              <w:ind w:left="120"/>
              <w:spacing w:after="0"/>
              <w:rPr>
                <w:sz w:val="20"/>
                <w:szCs w:val="20"/>
                <w:color w:val="auto"/>
              </w:rPr>
            </w:pPr>
            <w:r>
              <w:rPr>
                <w:rFonts w:ascii="Arial" w:cs="Arial" w:eastAsia="Arial" w:hAnsi="Arial"/>
                <w:sz w:val="18"/>
                <w:szCs w:val="18"/>
                <w:b w:val="1"/>
                <w:bCs w:val="1"/>
                <w:color w:val="auto"/>
              </w:rPr>
              <w:t>Shares</w:t>
            </w:r>
          </w:p>
        </w:tc>
        <w:tc>
          <w:tcPr>
            <w:tcW w:w="7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Amount</w:t>
            </w:r>
          </w:p>
        </w:tc>
        <w:tc>
          <w:tcPr>
            <w:tcW w:w="220" w:type="dxa"/>
            <w:vAlign w:val="bottom"/>
          </w:tcPr>
          <w:p>
            <w:pPr>
              <w:spacing w:after="0"/>
              <w:rPr>
                <w:sz w:val="19"/>
                <w:szCs w:val="19"/>
                <w:color w:val="auto"/>
              </w:rPr>
            </w:pPr>
          </w:p>
        </w:tc>
        <w:tc>
          <w:tcPr>
            <w:tcW w:w="980" w:type="dxa"/>
            <w:vAlign w:val="bottom"/>
            <w:tcBorders>
              <w:top w:val="single" w:sz="8" w:color="auto"/>
            </w:tcBorders>
            <w:gridSpan w:val="2"/>
          </w:tcPr>
          <w:p>
            <w:pPr>
              <w:ind w:left="120"/>
              <w:spacing w:after="0"/>
              <w:rPr>
                <w:sz w:val="20"/>
                <w:szCs w:val="20"/>
                <w:color w:val="auto"/>
              </w:rPr>
            </w:pPr>
            <w:r>
              <w:rPr>
                <w:rFonts w:ascii="Arial" w:cs="Arial" w:eastAsia="Arial" w:hAnsi="Arial"/>
                <w:sz w:val="18"/>
                <w:szCs w:val="18"/>
                <w:b w:val="1"/>
                <w:bCs w:val="1"/>
                <w:color w:val="auto"/>
              </w:rPr>
              <w:t>Shares</w:t>
            </w:r>
          </w:p>
        </w:tc>
        <w:tc>
          <w:tcPr>
            <w:tcW w:w="7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Amount</w:t>
            </w:r>
          </w:p>
        </w:tc>
        <w:tc>
          <w:tcPr>
            <w:tcW w:w="180" w:type="dxa"/>
            <w:vAlign w:val="bottom"/>
          </w:tcPr>
          <w:p>
            <w:pPr>
              <w:spacing w:after="0"/>
              <w:rPr>
                <w:sz w:val="19"/>
                <w:szCs w:val="19"/>
                <w:color w:val="auto"/>
              </w:rPr>
            </w:pPr>
          </w:p>
        </w:tc>
        <w:tc>
          <w:tcPr>
            <w:tcW w:w="1020" w:type="dxa"/>
            <w:vAlign w:val="bottom"/>
            <w:tcBorders>
              <w:top w:val="single" w:sz="8" w:color="auto"/>
            </w:tcBorders>
            <w:gridSpan w:val="2"/>
          </w:tcPr>
          <w:p>
            <w:pPr>
              <w:jc w:val="right"/>
              <w:ind w:right="340"/>
              <w:spacing w:after="0"/>
              <w:rPr>
                <w:sz w:val="20"/>
                <w:szCs w:val="20"/>
                <w:color w:val="auto"/>
              </w:rPr>
            </w:pPr>
            <w:r>
              <w:rPr>
                <w:rFonts w:ascii="Arial" w:cs="Arial" w:eastAsia="Arial" w:hAnsi="Arial"/>
                <w:sz w:val="18"/>
                <w:szCs w:val="18"/>
                <w:b w:val="1"/>
                <w:bCs w:val="1"/>
                <w:color w:val="auto"/>
              </w:rPr>
              <w:t>Shares</w:t>
            </w:r>
          </w:p>
        </w:tc>
        <w:tc>
          <w:tcPr>
            <w:tcW w:w="7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Amount</w:t>
            </w: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020" w:type="dxa"/>
            <w:vAlign w:val="bottom"/>
            <w:tcBorders>
              <w:top w:val="single" w:sz="8" w:color="auto"/>
            </w:tcBorders>
            <w:gridSpan w:val="2"/>
          </w:tcPr>
          <w:p>
            <w:pPr>
              <w:jc w:val="right"/>
              <w:ind w:right="500"/>
              <w:spacing w:after="0"/>
              <w:rPr>
                <w:sz w:val="20"/>
                <w:szCs w:val="20"/>
                <w:color w:val="auto"/>
              </w:rPr>
            </w:pPr>
            <w:r>
              <w:rPr>
                <w:rFonts w:ascii="Arial" w:cs="Arial" w:eastAsia="Arial" w:hAnsi="Arial"/>
                <w:sz w:val="18"/>
                <w:szCs w:val="18"/>
                <w:b w:val="1"/>
                <w:bCs w:val="1"/>
                <w:color w:val="auto"/>
                <w:w w:val="83"/>
              </w:rPr>
              <w:t>Shares</w:t>
            </w:r>
          </w:p>
        </w:tc>
        <w:tc>
          <w:tcPr>
            <w:tcW w:w="720" w:type="dxa"/>
            <w:vAlign w:val="bottom"/>
            <w:tcBorders>
              <w:top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88"/>
              </w:rPr>
              <w:t>Amount</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2015</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2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2,295,186</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50,677</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3,202,500</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77,627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(57,000)</w:t>
            </w: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(1,259)</w:t>
            </w:r>
          </w:p>
        </w:tc>
        <w:tc>
          <w:tcPr>
            <w:tcW w:w="1080" w:type="dxa"/>
            <w:vAlign w:val="bottom"/>
            <w:gridSpan w:val="3"/>
          </w:tcPr>
          <w:p>
            <w:pPr>
              <w:jc w:val="right"/>
              <w:ind w:right="140"/>
              <w:spacing w:after="0"/>
              <w:rPr>
                <w:sz w:val="20"/>
                <w:szCs w:val="20"/>
                <w:color w:val="auto"/>
              </w:rPr>
            </w:pPr>
            <w:r>
              <w:rPr>
                <w:rFonts w:ascii="Arial" w:cs="Arial" w:eastAsia="Arial" w:hAnsi="Arial"/>
                <w:sz w:val="18"/>
                <w:szCs w:val="18"/>
                <w:color w:val="auto"/>
              </w:rPr>
              <w:t>(57,000)</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1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Exercised stock options - compensation</w:t>
            </w: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plans</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(70,358)</w:t>
            </w: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(1,553)</w:t>
            </w:r>
          </w:p>
        </w:tc>
        <w:tc>
          <w:tcPr>
            <w:tcW w:w="10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(70,358)</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(1,553)</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(64,208)</w:t>
            </w: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(1,418)</w:t>
            </w:r>
          </w:p>
        </w:tc>
        <w:tc>
          <w:tcPr>
            <w:tcW w:w="1080" w:type="dxa"/>
            <w:vAlign w:val="bottom"/>
            <w:gridSpan w:val="3"/>
          </w:tcPr>
          <w:p>
            <w:pPr>
              <w:jc w:val="right"/>
              <w:ind w:right="140"/>
              <w:spacing w:after="0"/>
              <w:rPr>
                <w:sz w:val="20"/>
                <w:szCs w:val="20"/>
                <w:color w:val="auto"/>
              </w:rPr>
            </w:pPr>
            <w:r>
              <w:rPr>
                <w:rFonts w:ascii="Arial" w:cs="Arial" w:eastAsia="Arial" w:hAnsi="Arial"/>
                <w:sz w:val="18"/>
                <w:szCs w:val="18"/>
                <w:color w:val="auto"/>
              </w:rPr>
              <w:t>(64,208)</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(1,418)</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September 30, 2015</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2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2,103,620</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46,447</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3,010,934</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73,397</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500" w:type="dxa"/>
            <w:vAlign w:val="bottom"/>
            <w:vMerge w:val="restart"/>
          </w:tcPr>
          <w:p>
            <w:pPr>
              <w:spacing w:after="0"/>
              <w:rPr>
                <w:sz w:val="18"/>
                <w:szCs w:val="18"/>
                <w:color w:val="auto"/>
              </w:rPr>
            </w:pPr>
          </w:p>
        </w:tc>
        <w:tc>
          <w:tcPr>
            <w:tcW w:w="31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Outstanding at January 1, 2016</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10,708</w:t>
            </w: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589,174</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b w:val="1"/>
                <w:bCs w:val="1"/>
                <w:color w:val="auto"/>
              </w:rPr>
              <w:t>16,242</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2,103,620</w:t>
            </w:r>
          </w:p>
        </w:tc>
        <w:tc>
          <w:tcPr>
            <w:tcW w:w="180" w:type="dxa"/>
            <w:vAlign w:val="bottom"/>
            <w:shd w:val="clear" w:color="auto" w:fill="CCEEFF"/>
          </w:tcPr>
          <w:p>
            <w:pPr>
              <w:spacing w:after="0"/>
              <w:rPr>
                <w:sz w:val="18"/>
                <w:szCs w:val="18"/>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46,447</w:t>
            </w:r>
          </w:p>
        </w:tc>
        <w:tc>
          <w:tcPr>
            <w:tcW w:w="8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3,010,934</w:t>
            </w:r>
          </w:p>
        </w:tc>
        <w:tc>
          <w:tcPr>
            <w:tcW w:w="2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73,397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Restricted stock granted - directors</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(57,000)</w:t>
            </w: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(1,259)</w:t>
            </w:r>
          </w:p>
        </w:tc>
        <w:tc>
          <w:tcPr>
            <w:tcW w:w="1080" w:type="dxa"/>
            <w:vAlign w:val="bottom"/>
            <w:gridSpan w:val="3"/>
          </w:tcPr>
          <w:p>
            <w:pPr>
              <w:jc w:val="right"/>
              <w:ind w:right="140"/>
              <w:spacing w:after="0"/>
              <w:rPr>
                <w:sz w:val="20"/>
                <w:szCs w:val="20"/>
                <w:color w:val="auto"/>
              </w:rPr>
            </w:pPr>
            <w:r>
              <w:rPr>
                <w:rFonts w:ascii="Arial" w:cs="Arial" w:eastAsia="Arial" w:hAnsi="Arial"/>
                <w:sz w:val="18"/>
                <w:szCs w:val="18"/>
                <w:color w:val="auto"/>
              </w:rPr>
              <w:t>(57,000)</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(1,259)</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500" w:type="dxa"/>
            <w:vAlign w:val="bottom"/>
          </w:tcPr>
          <w:p>
            <w:pPr>
              <w:spacing w:after="0"/>
              <w:rPr>
                <w:sz w:val="17"/>
                <w:szCs w:val="17"/>
                <w:color w:val="auto"/>
              </w:rPr>
            </w:pPr>
          </w:p>
        </w:tc>
        <w:tc>
          <w:tcPr>
            <w:tcW w:w="31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Exercised stock options - compensation</w:t>
            </w:r>
          </w:p>
        </w:tc>
        <w:tc>
          <w:tcPr>
            <w:tcW w:w="7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7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20"/>
                <w:szCs w:val="20"/>
                <w:color w:val="auto"/>
              </w:rPr>
            </w:pPr>
          </w:p>
        </w:tc>
        <w:tc>
          <w:tcPr>
            <w:tcW w:w="3120" w:type="dxa"/>
            <w:vAlign w:val="bottom"/>
            <w:shd w:val="clear" w:color="auto" w:fill="CCEEFF"/>
          </w:tcPr>
          <w:p>
            <w:pPr>
              <w:spacing w:after="0"/>
              <w:rPr>
                <w:sz w:val="20"/>
                <w:szCs w:val="20"/>
                <w:color w:val="auto"/>
              </w:rPr>
            </w:pPr>
            <w:r>
              <w:rPr>
                <w:rFonts w:ascii="Arial" w:cs="Arial" w:eastAsia="Arial" w:hAnsi="Arial"/>
                <w:sz w:val="18"/>
                <w:szCs w:val="18"/>
                <w:color w:val="auto"/>
              </w:rPr>
              <w:t>plans</w:t>
            </w: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0"/>
                <w:szCs w:val="20"/>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(68,409)</w:t>
            </w:r>
          </w:p>
        </w:tc>
        <w:tc>
          <w:tcPr>
            <w:tcW w:w="8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(1,510)</w:t>
            </w:r>
          </w:p>
        </w:tc>
        <w:tc>
          <w:tcPr>
            <w:tcW w:w="10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(68,409)</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(1,510)</w:t>
            </w: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3120" w:type="dxa"/>
            <w:vAlign w:val="bottom"/>
          </w:tcPr>
          <w:p>
            <w:pPr>
              <w:spacing w:after="0"/>
              <w:rPr>
                <w:sz w:val="20"/>
                <w:szCs w:val="20"/>
                <w:color w:val="auto"/>
              </w:rPr>
            </w:pPr>
            <w:r>
              <w:rPr>
                <w:rFonts w:ascii="Arial" w:cs="Arial" w:eastAsia="Arial" w:hAnsi="Arial"/>
                <w:sz w:val="18"/>
                <w:szCs w:val="18"/>
                <w:color w:val="auto"/>
              </w:rPr>
              <w:t>Restricted stock units - vested</w:t>
            </w: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9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8"/>
                <w:szCs w:val="18"/>
                <w:color w:val="auto"/>
              </w:rPr>
              <w:t>(65,358)</w:t>
            </w:r>
          </w:p>
        </w:tc>
        <w:tc>
          <w:tcPr>
            <w:tcW w:w="860" w:type="dxa"/>
            <w:vAlign w:val="bottom"/>
            <w:gridSpan w:val="2"/>
          </w:tcPr>
          <w:p>
            <w:pPr>
              <w:jc w:val="right"/>
              <w:ind w:right="60"/>
              <w:spacing w:after="0"/>
              <w:rPr>
                <w:sz w:val="20"/>
                <w:szCs w:val="20"/>
                <w:color w:val="auto"/>
              </w:rPr>
            </w:pPr>
            <w:r>
              <w:rPr>
                <w:rFonts w:ascii="Arial" w:cs="Arial" w:eastAsia="Arial" w:hAnsi="Arial"/>
                <w:sz w:val="18"/>
                <w:szCs w:val="18"/>
                <w:color w:val="auto"/>
              </w:rPr>
              <w:t>(1,443)</w:t>
            </w:r>
          </w:p>
        </w:tc>
        <w:tc>
          <w:tcPr>
            <w:tcW w:w="1080" w:type="dxa"/>
            <w:vAlign w:val="bottom"/>
            <w:gridSpan w:val="3"/>
          </w:tcPr>
          <w:p>
            <w:pPr>
              <w:jc w:val="right"/>
              <w:ind w:right="140"/>
              <w:spacing w:after="0"/>
              <w:rPr>
                <w:sz w:val="20"/>
                <w:szCs w:val="20"/>
                <w:color w:val="auto"/>
              </w:rPr>
            </w:pPr>
            <w:r>
              <w:rPr>
                <w:rFonts w:ascii="Arial" w:cs="Arial" w:eastAsia="Arial" w:hAnsi="Arial"/>
                <w:sz w:val="18"/>
                <w:szCs w:val="18"/>
                <w:color w:val="auto"/>
              </w:rPr>
              <w:t>(65,358)</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(1,443)</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3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Outstanding at September 30, 2016</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318,140</w:t>
            </w:r>
          </w:p>
        </w:tc>
        <w:tc>
          <w:tcPr>
            <w:tcW w:w="20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10,708</w:t>
            </w:r>
          </w:p>
        </w:tc>
        <w:tc>
          <w:tcPr>
            <w:tcW w:w="22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589,174</w:t>
            </w:r>
          </w:p>
        </w:tc>
        <w:tc>
          <w:tcPr>
            <w:tcW w:w="22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16,242</w:t>
            </w:r>
          </w:p>
        </w:tc>
        <w:tc>
          <w:tcPr>
            <w:tcW w:w="18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1,912,853</w:t>
            </w:r>
          </w:p>
        </w:tc>
        <w:tc>
          <w:tcPr>
            <w:tcW w:w="18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42,235</w:t>
            </w:r>
          </w:p>
        </w:tc>
        <w:tc>
          <w:tcPr>
            <w:tcW w:w="1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9"/>
              </w:rPr>
              <w:t>2,820,167</w:t>
            </w:r>
          </w:p>
        </w:tc>
        <w:tc>
          <w:tcPr>
            <w:tcW w:w="200" w:type="dxa"/>
            <w:vAlign w:val="bottom"/>
            <w:tcBorders>
              <w:top w:val="single" w:sz="8" w:color="CCEEFF"/>
            </w:tcBorders>
            <w:shd w:val="clear" w:color="auto" w:fill="CCEEFF"/>
          </w:tcPr>
          <w:p>
            <w:pPr>
              <w:spacing w:after="0"/>
              <w:rPr>
                <w:sz w:val="18"/>
                <w:szCs w:val="18"/>
                <w:color w:val="auto"/>
              </w:rPr>
            </w:pP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69,185</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642"/>
        </w:trPr>
        <w:tc>
          <w:tcPr>
            <w:tcW w:w="500" w:type="dxa"/>
            <w:vAlign w:val="bottom"/>
            <w:tcBorders>
              <w:bottom w:val="single" w:sz="8" w:color="auto"/>
            </w:tcBorders>
          </w:tcPr>
          <w:p>
            <w:pPr>
              <w:spacing w:after="0"/>
              <w:rPr>
                <w:sz w:val="24"/>
                <w:szCs w:val="24"/>
                <w:color w:val="auto"/>
              </w:rPr>
            </w:pPr>
          </w:p>
        </w:tc>
        <w:tc>
          <w:tcPr>
            <w:tcW w:w="31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color w:val="auto"/>
              </w:rPr>
              <w:t>46</w:t>
            </w:r>
          </w:p>
        </w:tc>
        <w:tc>
          <w:tcPr>
            <w:tcW w:w="22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8" w:name="page49"/>
    <w:bookmarkEnd w:id="48"/>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right="8380" w:hanging="492"/>
        <w:spacing w:after="0" w:line="503" w:lineRule="auto"/>
        <w:tabs>
          <w:tab w:leader="none" w:pos="50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Capital and Reserves (continued) Reserves</w:t>
      </w:r>
    </w:p>
    <w:p>
      <w:pPr>
        <w:jc w:val="both"/>
        <w:ind w:left="50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4.5% of its assets and off-balance sheet irrevocable contingency transactions, weighted according to their risk. As of September 30, 2016, the Bank’s total capital adequacy ratio is 16.03% which is in compliance with the minimum capital adequacy ratios required by the Banking Law in the Republic of Panama.</w:t>
      </w:r>
    </w:p>
    <w:p>
      <w:pPr>
        <w:spacing w:after="0" w:line="184"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Restriction on retained earnings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2016 and December 31, 2015, $46.7 million and $38.7 million, respectively of retained earnings are restricted from dividend distribution for purposes of complying with local regulatory requirements.</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Additional paid-in capital</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2016 and December 31, 2015, the additional paid-in capital consists of additional cash contributions to the common capital paid by shareholders.</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Dividends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As of September 30, 2016 and 2015, the dividends provided for or paid were as follows:</w:t>
      </w:r>
    </w:p>
    <w:p>
      <w:pPr>
        <w:spacing w:after="0" w:line="235"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3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980" w:type="dxa"/>
            <w:vAlign w:val="bottom"/>
            <w:gridSpan w:val="3"/>
          </w:tcPr>
          <w:p>
            <w:pPr>
              <w:jc w:val="right"/>
              <w:ind w:right="270"/>
              <w:spacing w:after="0"/>
              <w:rPr>
                <w:sz w:val="20"/>
                <w:szCs w:val="20"/>
                <w:color w:val="auto"/>
              </w:rPr>
            </w:pPr>
            <w:r>
              <w:rPr>
                <w:rFonts w:ascii="Arial" w:cs="Arial" w:eastAsia="Arial" w:hAnsi="Arial"/>
                <w:sz w:val="18"/>
                <w:szCs w:val="18"/>
                <w:b w:val="1"/>
                <w:bCs w:val="1"/>
                <w:color w:val="auto"/>
              </w:rPr>
              <w:t>First Quarter</w:t>
            </w:r>
          </w:p>
        </w:tc>
        <w:tc>
          <w:tcPr>
            <w:tcW w:w="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38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Second Quarter</w:t>
            </w:r>
          </w:p>
        </w:tc>
        <w:tc>
          <w:tcPr>
            <w:tcW w:w="2220" w:type="dxa"/>
            <w:vAlign w:val="bottom"/>
            <w:gridSpan w:val="5"/>
          </w:tcPr>
          <w:p>
            <w:pPr>
              <w:ind w:left="500"/>
              <w:spacing w:after="0"/>
              <w:rPr>
                <w:sz w:val="20"/>
                <w:szCs w:val="20"/>
                <w:color w:val="auto"/>
              </w:rPr>
            </w:pPr>
            <w:r>
              <w:rPr>
                <w:rFonts w:ascii="Arial" w:cs="Arial" w:eastAsia="Arial" w:hAnsi="Arial"/>
                <w:sz w:val="18"/>
                <w:szCs w:val="18"/>
                <w:b w:val="1"/>
                <w:bCs w:val="1"/>
                <w:color w:val="auto"/>
              </w:rPr>
              <w:t>Third Quarter</w:t>
            </w:r>
          </w:p>
        </w:tc>
      </w:tr>
      <w:tr>
        <w:trPr>
          <w:trHeight w:val="223"/>
        </w:trPr>
        <w:tc>
          <w:tcPr>
            <w:tcW w:w="3740" w:type="dxa"/>
            <w:vAlign w:val="bottom"/>
            <w:gridSpan w:val="2"/>
          </w:tcPr>
          <w:p>
            <w:pPr>
              <w:spacing w:after="0"/>
              <w:rPr>
                <w:sz w:val="20"/>
                <w:szCs w:val="20"/>
                <w:color w:val="auto"/>
              </w:rPr>
            </w:pPr>
            <w:r>
              <w:rPr>
                <w:rFonts w:ascii="Arial" w:cs="Arial" w:eastAsia="Arial" w:hAnsi="Arial"/>
                <w:sz w:val="18"/>
                <w:szCs w:val="18"/>
                <w:b w:val="1"/>
                <w:bCs w:val="1"/>
                <w:color w:val="auto"/>
              </w:rPr>
              <w:t>Dividends</w:t>
            </w:r>
          </w:p>
        </w:tc>
        <w:tc>
          <w:tcPr>
            <w:tcW w:w="98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tcBorders>
          </w:tcPr>
          <w:p>
            <w:pPr>
              <w:spacing w:after="0"/>
              <w:rPr>
                <w:sz w:val="19"/>
                <w:szCs w:val="19"/>
                <w:color w:val="auto"/>
              </w:rPr>
            </w:pPr>
          </w:p>
        </w:tc>
        <w:tc>
          <w:tcPr>
            <w:tcW w:w="780" w:type="dxa"/>
            <w:vAlign w:val="bottom"/>
            <w:tcBorders>
              <w:top w:val="single" w:sz="8" w:color="auto"/>
            </w:tcBorders>
          </w:tcPr>
          <w:p>
            <w:pPr>
              <w:jc w:val="right"/>
              <w:ind w:right="30"/>
              <w:spacing w:after="0"/>
              <w:rPr>
                <w:sz w:val="20"/>
                <w:szCs w:val="20"/>
                <w:color w:val="auto"/>
              </w:rPr>
            </w:pPr>
            <w:r>
              <w:rPr>
                <w:rFonts w:ascii="Arial" w:cs="Arial" w:eastAsia="Arial" w:hAnsi="Arial"/>
                <w:sz w:val="18"/>
                <w:szCs w:val="18"/>
                <w:b w:val="1"/>
                <w:bCs w:val="1"/>
                <w:color w:val="auto"/>
              </w:rPr>
              <w:t>2015</w:t>
            </w:r>
          </w:p>
        </w:tc>
        <w:tc>
          <w:tcPr>
            <w:tcW w:w="18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2016</w:t>
            </w:r>
          </w:p>
        </w:tc>
        <w:tc>
          <w:tcPr>
            <w:tcW w:w="220" w:type="dxa"/>
            <w:vAlign w:val="bottom"/>
            <w:tcBorders>
              <w:top w:val="single" w:sz="8" w:color="auto"/>
            </w:tcBorders>
          </w:tcPr>
          <w:p>
            <w:pPr>
              <w:spacing w:after="0"/>
              <w:rPr>
                <w:sz w:val="19"/>
                <w:szCs w:val="19"/>
                <w:color w:val="auto"/>
              </w:rPr>
            </w:pPr>
          </w:p>
        </w:tc>
        <w:tc>
          <w:tcPr>
            <w:tcW w:w="96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2016</w:t>
            </w:r>
          </w:p>
        </w:tc>
        <w:tc>
          <w:tcPr>
            <w:tcW w:w="200" w:type="dxa"/>
            <w:vAlign w:val="bottom"/>
            <w:tcBorders>
              <w:top w:val="single" w:sz="8" w:color="auto"/>
            </w:tcBorders>
          </w:tcPr>
          <w:p>
            <w:pPr>
              <w:spacing w:after="0"/>
              <w:rPr>
                <w:sz w:val="19"/>
                <w:szCs w:val="19"/>
                <w:color w:val="auto"/>
              </w:rPr>
            </w:pPr>
          </w:p>
        </w:tc>
        <w:tc>
          <w:tcPr>
            <w:tcW w:w="94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2015</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195"/>
        </w:trPr>
        <w:tc>
          <w:tcPr>
            <w:tcW w:w="36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Dividends provided for or</w:t>
            </w:r>
          </w:p>
        </w:tc>
        <w:tc>
          <w:tcPr>
            <w:tcW w:w="10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78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6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94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r>
      <w:tr>
        <w:trPr>
          <w:trHeight w:val="216"/>
        </w:trPr>
        <w:tc>
          <w:tcPr>
            <w:tcW w:w="37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paid during the</w:t>
            </w: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44"/>
        </w:trPr>
        <w:tc>
          <w:tcPr>
            <w:tcW w:w="37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quarter</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15,000</w:t>
            </w:r>
          </w:p>
        </w:tc>
        <w:tc>
          <w:tcPr>
            <w:tcW w:w="780" w:type="dxa"/>
            <w:vAlign w:val="bottom"/>
            <w:shd w:val="clear" w:color="auto" w:fill="CCEEFF"/>
          </w:tcPr>
          <w:p>
            <w:pPr>
              <w:spacing w:after="0"/>
              <w:rPr>
                <w:sz w:val="21"/>
                <w:szCs w:val="21"/>
                <w:color w:val="auto"/>
              </w:rPr>
            </w:pPr>
          </w:p>
        </w:tc>
        <w:tc>
          <w:tcPr>
            <w:tcW w:w="400" w:type="dxa"/>
            <w:vAlign w:val="bottom"/>
            <w:gridSpan w:val="2"/>
            <w:shd w:val="clear" w:color="auto" w:fill="CCEEFF"/>
          </w:tcPr>
          <w:p>
            <w:pPr>
              <w:ind w:left="1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15,052</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15,005</w:t>
            </w:r>
          </w:p>
        </w:tc>
        <w:tc>
          <w:tcPr>
            <w:tcW w:w="11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15,052</w:t>
            </w: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15,000</w:t>
            </w:r>
          </w:p>
        </w:tc>
        <w:tc>
          <w:tcPr>
            <w:tcW w:w="80" w:type="dxa"/>
            <w:vAlign w:val="bottom"/>
            <w:shd w:val="clear" w:color="auto" w:fill="CCEEFF"/>
          </w:tcPr>
          <w:p>
            <w:pPr>
              <w:spacing w:after="0"/>
              <w:rPr>
                <w:sz w:val="21"/>
                <w:szCs w:val="21"/>
                <w:color w:val="auto"/>
              </w:rPr>
            </w:pPr>
          </w:p>
        </w:tc>
      </w:tr>
      <w:tr>
        <w:trPr>
          <w:trHeight w:val="210"/>
        </w:trPr>
        <w:tc>
          <w:tcPr>
            <w:tcW w:w="3740" w:type="dxa"/>
            <w:vAlign w:val="bottom"/>
            <w:gridSpan w:val="2"/>
          </w:tcPr>
          <w:p>
            <w:pPr>
              <w:ind w:left="20"/>
              <w:spacing w:after="0"/>
              <w:rPr>
                <w:sz w:val="20"/>
                <w:szCs w:val="20"/>
                <w:color w:val="auto"/>
              </w:rPr>
            </w:pPr>
            <w:r>
              <w:rPr>
                <w:rFonts w:ascii="Arial" w:cs="Arial" w:eastAsia="Arial" w:hAnsi="Arial"/>
                <w:sz w:val="18"/>
                <w:szCs w:val="18"/>
                <w:color w:val="auto"/>
              </w:rPr>
              <w:t>Dividend per share</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20" w:type="dxa"/>
            <w:vAlign w:val="bottom"/>
          </w:tcPr>
          <w:p>
            <w:pPr>
              <w:spacing w:after="0"/>
              <w:rPr>
                <w:sz w:val="18"/>
                <w:szCs w:val="18"/>
                <w:color w:val="auto"/>
              </w:rPr>
            </w:pPr>
          </w:p>
        </w:tc>
        <w:tc>
          <w:tcPr>
            <w:tcW w:w="780" w:type="dxa"/>
            <w:vAlign w:val="bottom"/>
            <w:tcBorders>
              <w:top w:val="single" w:sz="8" w:color="auto"/>
              <w:bottom w:val="single" w:sz="8" w:color="auto"/>
            </w:tcBorders>
          </w:tcPr>
          <w:p>
            <w:pPr>
              <w:spacing w:after="0"/>
              <w:rPr>
                <w:sz w:val="18"/>
                <w:szCs w:val="18"/>
                <w:color w:val="auto"/>
              </w:rPr>
            </w:pPr>
          </w:p>
        </w:tc>
        <w:tc>
          <w:tcPr>
            <w:tcW w:w="180" w:type="dxa"/>
            <w:vAlign w:val="bottom"/>
            <w:tcBorders>
              <w:top w:val="single" w:sz="8" w:color="auto"/>
              <w:bottom w:val="single" w:sz="8" w:color="auto"/>
            </w:tcBorders>
          </w:tcPr>
          <w:p>
            <w:pPr>
              <w:ind w:left="120"/>
              <w:spacing w:after="0"/>
              <w:rPr>
                <w:sz w:val="20"/>
                <w:szCs w:val="20"/>
                <w:color w:val="auto"/>
              </w:rPr>
            </w:pPr>
            <w:r>
              <w:rPr>
                <w:rFonts w:ascii="Arial" w:cs="Arial" w:eastAsia="Arial" w:hAnsi="Arial"/>
                <w:sz w:val="16"/>
                <w:szCs w:val="16"/>
                <w:color w:val="auto"/>
                <w:w w:val="74"/>
              </w:rPr>
              <w:t>-</w:t>
            </w:r>
          </w:p>
        </w:tc>
        <w:tc>
          <w:tcPr>
            <w:tcW w:w="22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20" w:type="dxa"/>
            <w:vAlign w:val="bottom"/>
          </w:tcPr>
          <w:p>
            <w:pPr>
              <w:spacing w:after="0"/>
              <w:rPr>
                <w:sz w:val="18"/>
                <w:szCs w:val="18"/>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20" w:type="dxa"/>
            <w:vAlign w:val="bottom"/>
          </w:tcPr>
          <w:p>
            <w:pPr>
              <w:spacing w:after="0"/>
              <w:rPr>
                <w:sz w:val="18"/>
                <w:szCs w:val="18"/>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00" w:type="dxa"/>
            <w:vAlign w:val="bottom"/>
          </w:tcPr>
          <w:p>
            <w:pPr>
              <w:spacing w:after="0"/>
              <w:rPr>
                <w:sz w:val="18"/>
                <w:szCs w:val="18"/>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0.385</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bl>
    <w:p>
      <w:pPr>
        <w:spacing w:after="0" w:line="198" w:lineRule="exact"/>
        <w:rPr>
          <w:sz w:val="20"/>
          <w:szCs w:val="20"/>
          <w:color w:val="auto"/>
        </w:rPr>
      </w:pPr>
    </w:p>
    <w:p>
      <w:pPr>
        <w:ind w:left="500" w:hanging="492"/>
        <w:spacing w:after="0"/>
        <w:tabs>
          <w:tab w:leader="none" w:pos="50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spacing w:after="0" w:line="181" w:lineRule="exact"/>
        <w:rPr>
          <w:rFonts w:ascii="Arial" w:cs="Arial" w:eastAsia="Arial" w:hAnsi="Arial"/>
          <w:sz w:val="18"/>
          <w:szCs w:val="18"/>
          <w:b w:val="1"/>
          <w:bCs w:val="1"/>
          <w:color w:val="auto"/>
        </w:rPr>
      </w:pPr>
    </w:p>
    <w:p>
      <w:pPr>
        <w:jc w:val="both"/>
        <w:ind w:left="500"/>
        <w:spacing w:after="0" w:line="297" w:lineRule="auto"/>
        <w:rPr>
          <w:rFonts w:ascii="Arial" w:cs="Arial" w:eastAsia="Arial" w:hAnsi="Arial"/>
          <w:sz w:val="18"/>
          <w:szCs w:val="18"/>
          <w:b w:val="1"/>
          <w:bCs w:val="1"/>
          <w:color w:val="auto"/>
        </w:rPr>
      </w:pPr>
      <w:r>
        <w:rPr>
          <w:rFonts w:ascii="Arial" w:cs="Arial" w:eastAsia="Arial" w:hAnsi="Arial"/>
          <w:sz w:val="16"/>
          <w:szCs w:val="16"/>
          <w:color w:val="auto"/>
        </w:rPr>
        <w:t>The Bank’s net interest income represents the main driver of profits; therefore, the Bank presents its interest-earning assets by business segment, to give an indication of the size of business generating net interest income. Interest-earning assets also generate gains and losses on sales, such as for financial instruments at fair value through OCI and financial instruments at fair value through profit or loss,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Business Segment.</w:t>
      </w:r>
    </w:p>
    <w:p>
      <w:pPr>
        <w:spacing w:after="0" w:line="158"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acceptances and contingencies. Profits from the Commercial Business Segment include net interest income from loans, fee income, impairment loss from expected credit losses on loans at amortized cost and off-balance sheet financial instruments, and allocated expenses.</w:t>
      </w:r>
    </w:p>
    <w:p>
      <w:pPr>
        <w:spacing w:after="0" w:line="186"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The Treasury Business Segment incorporates deposits in banks and all of the Bank’s financial instruments at fair value through profit or loss, financial instruments at fair value through OCI and securities at amortized cost. Profits from the Treasury Business Segment include net interest income from deposits with banks, financial instruments at fair value through OCI and securities at amortized cost, derivative financial instruments foreign currency exchange, gain (loss) for financial instrument at fair value through profit or loss, gain (loss) for financial instrument at fair value through OCI, impairment loss for expected credit losses on investment securities, other income and allocated expenses.</w:t>
      </w:r>
    </w:p>
    <w:p>
      <w:pPr>
        <w:spacing w:after="0" w:line="389"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9" w:name="page50"/>
    <w:bookmarkEnd w:id="4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p>
      <w:pPr>
        <w:jc w:val="right"/>
        <w:ind w:right="420"/>
        <w:spacing w:after="0"/>
        <w:rPr>
          <w:sz w:val="20"/>
          <w:szCs w:val="20"/>
          <w:color w:val="auto"/>
        </w:rPr>
      </w:pPr>
      <w:r>
        <w:rPr>
          <w:rFonts w:ascii="Arial" w:cs="Arial" w:eastAsia="Arial" w:hAnsi="Arial"/>
          <w:sz w:val="18"/>
          <w:szCs w:val="18"/>
          <w:b w:val="1"/>
          <w:bCs w:val="1"/>
          <w:color w:val="auto"/>
        </w:rPr>
        <w:t>Period ended at September 30,</w:t>
      </w:r>
    </w:p>
    <w:p>
      <w:pPr>
        <w:sectPr>
          <w:pgSz w:w="11900" w:h="16838" w:orient="portrait"/>
          <w:cols w:equalWidth="0" w:num="1">
            <w:col w:w="11420"/>
          </w:cols>
          <w:pgMar w:left="240" w:top="904" w:right="239" w:bottom="1440" w:gutter="0" w:footer="0" w:header="0"/>
        </w:sectPr>
      </w:pPr>
    </w:p>
    <w:p>
      <w:pPr>
        <w:spacing w:after="0" w:line="293" w:lineRule="exact"/>
        <w:rPr>
          <w:sz w:val="20"/>
          <w:szCs w:val="20"/>
          <w:color w:val="auto"/>
        </w:rPr>
      </w:pPr>
    </w:p>
    <w:p>
      <w:pPr>
        <w:ind w:left="500"/>
        <w:spacing w:after="0"/>
        <w:rPr>
          <w:sz w:val="20"/>
          <w:szCs w:val="20"/>
          <w:color w:val="auto"/>
        </w:rPr>
      </w:pPr>
      <w:r>
        <w:rPr>
          <w:rFonts w:ascii="Arial" w:cs="Arial" w:eastAsia="Arial" w:hAnsi="Arial"/>
          <w:sz w:val="18"/>
          <w:szCs w:val="18"/>
          <w:b w:val="1"/>
          <w:bCs w:val="1"/>
          <w:color w:val="auto"/>
        </w:rPr>
        <w:t>Commercial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-127635</wp:posOffset>
            </wp:positionV>
            <wp:extent cx="6809105" cy="14605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income</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-130810</wp:posOffset>
            </wp:positionV>
            <wp:extent cx="6809105" cy="14605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 w:lineRule="exact"/>
        <w:rPr>
          <w:sz w:val="20"/>
          <w:szCs w:val="20"/>
          <w:color w:val="auto"/>
        </w:rPr>
      </w:pPr>
    </w:p>
    <w:p>
      <w:pPr>
        <w:ind w:left="500"/>
        <w:spacing w:after="0"/>
        <w:rPr>
          <w:sz w:val="20"/>
          <w:szCs w:val="20"/>
          <w:color w:val="auto"/>
        </w:rPr>
      </w:pPr>
      <w:r>
        <w:rPr>
          <w:rFonts w:ascii="Arial" w:cs="Arial" w:eastAsia="Arial" w:hAnsi="Arial"/>
          <w:sz w:val="18"/>
          <w:szCs w:val="18"/>
          <w:color w:val="auto"/>
        </w:rPr>
        <w:t>Net interest income</w:t>
      </w:r>
    </w:p>
    <w:p>
      <w:pPr>
        <w:ind w:left="500"/>
        <w:spacing w:after="0" w:line="205" w:lineRule="auto"/>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-171450</wp:posOffset>
            </wp:positionV>
            <wp:extent cx="6809105" cy="1714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809105" cy="17145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b w:val="1"/>
          <w:bCs w:val="1"/>
          <w:color w:val="auto"/>
        </w:rPr>
        <w:t>Total income</w:t>
      </w:r>
    </w:p>
    <w:p>
      <w:pPr>
        <w:spacing w:after="0" w:line="20" w:lineRule="exact"/>
        <w:rPr>
          <w:sz w:val="20"/>
          <w:szCs w:val="20"/>
          <w:color w:val="auto"/>
        </w:rPr>
      </w:pPr>
    </w:p>
    <w:p>
      <w:pPr>
        <w:ind w:left="500" w:right="380"/>
        <w:spacing w:after="0" w:line="266" w:lineRule="auto"/>
        <w:rPr>
          <w:sz w:val="20"/>
          <w:szCs w:val="20"/>
          <w:color w:val="auto"/>
        </w:rPr>
      </w:pPr>
      <w:r>
        <w:rPr>
          <w:rFonts w:ascii="Arial" w:cs="Arial" w:eastAsia="Arial" w:hAnsi="Arial"/>
          <w:sz w:val="18"/>
          <w:szCs w:val="18"/>
          <w:color w:val="auto"/>
        </w:rPr>
        <w:t>Impairment loss from expected credit losses on loans at amortized cost and credit contingencies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-290195</wp:posOffset>
            </wp:positionV>
            <wp:extent cx="6809105" cy="14605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-130175</wp:posOffset>
            </wp:positionV>
            <wp:extent cx="6809105" cy="14605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Commercial assets and contingencies (end of period balances):</w:t>
      </w:r>
    </w:p>
    <w:p>
      <w:pPr>
        <w:ind w:left="500"/>
        <w:spacing w:after="0" w:line="185" w:lineRule="auto"/>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-162560</wp:posOffset>
            </wp:positionV>
            <wp:extent cx="6809105" cy="16319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6809105" cy="163195"/>
                    </a:xfrm>
                    <a:prstGeom prst="rect">
                      <a:avLst/>
                    </a:prstGeom>
                    <a:noFill/>
                  </pic:spPr>
                </pic:pic>
              </a:graphicData>
            </a:graphic>
          </wp:anchor>
        </w:drawing>
      </w:r>
    </w:p>
    <w:p>
      <w:pPr>
        <w:ind w:left="500"/>
        <w:spacing w:after="0" w:line="188" w:lineRule="auto"/>
        <w:rPr>
          <w:sz w:val="20"/>
          <w:szCs w:val="20"/>
          <w:color w:val="auto"/>
        </w:rPr>
      </w:pPr>
      <w:r>
        <w:rPr>
          <w:rFonts w:ascii="Arial" w:cs="Arial" w:eastAsia="Arial" w:hAnsi="Arial"/>
          <w:sz w:val="18"/>
          <w:szCs w:val="18"/>
          <w:color w:val="auto"/>
        </w:rPr>
        <w:t xml:space="preserve">Other assets and contingencies </w:t>
      </w:r>
      <w:r>
        <w:rPr>
          <w:rFonts w:ascii="Arial" w:cs="Arial" w:eastAsia="Arial" w:hAnsi="Arial"/>
          <w:sz w:val="30"/>
          <w:szCs w:val="30"/>
          <w:color w:val="auto"/>
          <w:vertAlign w:val="superscript"/>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0</wp:posOffset>
            </wp:positionV>
            <wp:extent cx="6809105" cy="16319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6809105" cy="163195"/>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Total interest-earning assets, other assets and contingencies</w:t>
      </w:r>
    </w:p>
    <w:p>
      <w:pPr>
        <w:spacing w:after="0" w:line="20" w:lineRule="exact"/>
        <w:rPr>
          <w:sz w:val="20"/>
          <w:szCs w:val="20"/>
          <w:color w:val="auto"/>
        </w:rPr>
      </w:pPr>
      <w:r>
        <w:rPr>
          <w:sz w:val="20"/>
          <w:szCs w:val="20"/>
          <w:color w:val="auto"/>
        </w:rPr>
        <w:br w:type="column"/>
      </w:r>
    </w:p>
    <w:p>
      <w:pPr>
        <w:spacing w:after="0" w:line="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50"/>
        </w:trPr>
        <w:tc>
          <w:tcPr>
            <w:tcW w:w="1200" w:type="dxa"/>
            <w:vAlign w:val="bottom"/>
            <w:tcBorders>
              <w:top w:val="single" w:sz="8" w:color="auto"/>
              <w:bottom w:val="single" w:sz="8" w:color="auto"/>
            </w:tcBorders>
          </w:tcPr>
          <w:p>
            <w:pPr>
              <w:jc w:val="right"/>
              <w:ind w:right="250"/>
              <w:spacing w:after="0" w:line="251" w:lineRule="exact"/>
              <w:rPr>
                <w:sz w:val="20"/>
                <w:szCs w:val="20"/>
                <w:color w:val="auto"/>
              </w:rPr>
            </w:pPr>
            <w:r>
              <w:rPr>
                <w:rFonts w:ascii="Arial" w:cs="Arial" w:eastAsia="Arial" w:hAnsi="Arial"/>
                <w:sz w:val="18"/>
                <w:szCs w:val="18"/>
                <w:b w:val="1"/>
                <w:bCs w:val="1"/>
                <w:color w:val="auto"/>
              </w:rPr>
              <w:t>2016</w:t>
            </w:r>
            <w:r>
              <w:rPr>
                <w:rFonts w:ascii="Arial" w:cs="Arial" w:eastAsia="Arial" w:hAnsi="Arial"/>
                <w:sz w:val="29"/>
                <w:szCs w:val="29"/>
                <w:b w:val="1"/>
                <w:bCs w:val="1"/>
                <w:color w:val="auto"/>
                <w:vertAlign w:val="superscript"/>
              </w:rPr>
              <w:t>(1)</w:t>
            </w:r>
          </w:p>
        </w:tc>
        <w:tc>
          <w:tcPr>
            <w:tcW w:w="200" w:type="dxa"/>
            <w:vAlign w:val="bottom"/>
            <w:tcBorders>
              <w:top w:val="single" w:sz="8" w:color="auto"/>
            </w:tcBorders>
          </w:tcPr>
          <w:p>
            <w:pPr>
              <w:spacing w:after="0"/>
              <w:rPr>
                <w:sz w:val="21"/>
                <w:szCs w:val="21"/>
                <w:color w:val="auto"/>
              </w:rPr>
            </w:pPr>
          </w:p>
        </w:tc>
        <w:tc>
          <w:tcPr>
            <w:tcW w:w="1180" w:type="dxa"/>
            <w:vAlign w:val="bottom"/>
            <w:tcBorders>
              <w:top w:val="single" w:sz="8" w:color="auto"/>
              <w:bottom w:val="single" w:sz="8" w:color="auto"/>
            </w:tcBorders>
          </w:tcPr>
          <w:p>
            <w:pPr>
              <w:jc w:val="right"/>
              <w:ind w:right="230"/>
              <w:spacing w:after="0" w:line="251" w:lineRule="exact"/>
              <w:rPr>
                <w:sz w:val="20"/>
                <w:szCs w:val="20"/>
                <w:color w:val="auto"/>
              </w:rPr>
            </w:pPr>
            <w:r>
              <w:rPr>
                <w:rFonts w:ascii="Arial" w:cs="Arial" w:eastAsia="Arial" w:hAnsi="Arial"/>
                <w:sz w:val="18"/>
                <w:szCs w:val="18"/>
                <w:b w:val="1"/>
                <w:bCs w:val="1"/>
                <w:color w:val="auto"/>
              </w:rPr>
              <w:t>2015</w:t>
            </w:r>
            <w:r>
              <w:rPr>
                <w:rFonts w:ascii="Arial" w:cs="Arial" w:eastAsia="Arial" w:hAnsi="Arial"/>
                <w:sz w:val="29"/>
                <w:szCs w:val="29"/>
                <w:b w:val="1"/>
                <w:bCs w:val="1"/>
                <w:color w:val="auto"/>
                <w:vertAlign w:val="superscript"/>
              </w:rPr>
              <w:t>(1)</w:t>
            </w:r>
          </w:p>
        </w:tc>
        <w:tc>
          <w:tcPr>
            <w:tcW w:w="60" w:type="dxa"/>
            <w:vAlign w:val="bottom"/>
          </w:tcPr>
          <w:p>
            <w:pPr>
              <w:spacing w:after="0"/>
              <w:rPr>
                <w:sz w:val="21"/>
                <w:szCs w:val="21"/>
                <w:color w:val="auto"/>
              </w:rPr>
            </w:pPr>
          </w:p>
        </w:tc>
      </w:tr>
      <w:tr>
        <w:trPr>
          <w:trHeight w:val="411"/>
        </w:trPr>
        <w:tc>
          <w:tcPr>
            <w:tcW w:w="1200" w:type="dxa"/>
            <w:vAlign w:val="bottom"/>
          </w:tcPr>
          <w:p>
            <w:pPr>
              <w:jc w:val="right"/>
              <w:spacing w:after="0"/>
              <w:rPr>
                <w:sz w:val="20"/>
                <w:szCs w:val="20"/>
                <w:color w:val="auto"/>
              </w:rPr>
            </w:pPr>
            <w:r>
              <w:rPr>
                <w:rFonts w:ascii="Arial" w:cs="Arial" w:eastAsia="Arial" w:hAnsi="Arial"/>
                <w:sz w:val="18"/>
                <w:szCs w:val="18"/>
                <w:color w:val="auto"/>
              </w:rPr>
              <w:t>177,026</w:t>
            </w:r>
          </w:p>
        </w:tc>
        <w:tc>
          <w:tcPr>
            <w:tcW w:w="20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154,065</w:t>
            </w:r>
          </w:p>
        </w:tc>
        <w:tc>
          <w:tcPr>
            <w:tcW w:w="60" w:type="dxa"/>
            <w:vAlign w:val="bottom"/>
          </w:tcPr>
          <w:p>
            <w:pPr>
              <w:spacing w:after="0"/>
              <w:rPr>
                <w:sz w:val="24"/>
                <w:szCs w:val="24"/>
                <w:color w:val="auto"/>
              </w:rPr>
            </w:pPr>
          </w:p>
        </w:tc>
      </w:tr>
      <w:tr>
        <w:trPr>
          <w:trHeight w:val="244"/>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(71,645)</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(60,597)</w:t>
            </w:r>
          </w:p>
        </w:tc>
      </w:tr>
      <w:tr>
        <w:trPr>
          <w:trHeight w:val="224"/>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105,381</w:t>
            </w:r>
          </w:p>
        </w:tc>
        <w:tc>
          <w:tcPr>
            <w:tcW w:w="20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93,468</w:t>
            </w:r>
          </w:p>
        </w:tc>
        <w:tc>
          <w:tcPr>
            <w:tcW w:w="60" w:type="dxa"/>
            <w:vAlign w:val="bottom"/>
          </w:tcPr>
          <w:p>
            <w:pPr>
              <w:spacing w:after="0"/>
              <w:rPr>
                <w:sz w:val="19"/>
                <w:szCs w:val="19"/>
                <w:color w:val="auto"/>
              </w:rPr>
            </w:pPr>
          </w:p>
        </w:tc>
      </w:tr>
      <w:tr>
        <w:trPr>
          <w:trHeight w:val="256"/>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11,632</w:t>
            </w:r>
          </w:p>
        </w:tc>
        <w:tc>
          <w:tcPr>
            <w:tcW w:w="200" w:type="dxa"/>
            <w:vAlign w:val="bottom"/>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14,080</w:t>
            </w:r>
          </w:p>
        </w:tc>
        <w:tc>
          <w:tcPr>
            <w:tcW w:w="60" w:type="dxa"/>
            <w:vAlign w:val="bottom"/>
          </w:tcPr>
          <w:p>
            <w:pPr>
              <w:spacing w:after="0"/>
              <w:rPr>
                <w:sz w:val="22"/>
                <w:szCs w:val="22"/>
                <w:color w:val="auto"/>
              </w:rPr>
            </w:pPr>
          </w:p>
        </w:tc>
      </w:tr>
      <w:tr>
        <w:trPr>
          <w:trHeight w:val="21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117,013</w:t>
            </w:r>
          </w:p>
        </w:tc>
        <w:tc>
          <w:tcPr>
            <w:tcW w:w="200" w:type="dxa"/>
            <w:vAlign w:val="bottom"/>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107,548</w:t>
            </w:r>
          </w:p>
        </w:tc>
        <w:tc>
          <w:tcPr>
            <w:tcW w:w="60" w:type="dxa"/>
            <w:vAlign w:val="bottom"/>
          </w:tcPr>
          <w:p>
            <w:pPr>
              <w:spacing w:after="0"/>
              <w:rPr>
                <w:sz w:val="18"/>
                <w:szCs w:val="18"/>
                <w:color w:val="auto"/>
              </w:rPr>
            </w:pPr>
          </w:p>
        </w:tc>
      </w:tr>
      <w:tr>
        <w:trPr>
          <w:trHeight w:val="195"/>
        </w:trPr>
        <w:tc>
          <w:tcPr>
            <w:tcW w:w="1200" w:type="dxa"/>
            <w:vAlign w:val="bottom"/>
          </w:tcPr>
          <w:p>
            <w:pPr>
              <w:jc w:val="right"/>
              <w:spacing w:after="0" w:line="195" w:lineRule="exact"/>
              <w:rPr>
                <w:sz w:val="20"/>
                <w:szCs w:val="20"/>
                <w:color w:val="auto"/>
              </w:rPr>
            </w:pPr>
            <w:r>
              <w:rPr>
                <w:rFonts w:ascii="Arial" w:cs="Arial" w:eastAsia="Arial" w:hAnsi="Arial"/>
                <w:sz w:val="18"/>
                <w:szCs w:val="18"/>
                <w:color w:val="auto"/>
              </w:rPr>
              <w:t>(17,127)</w:t>
            </w:r>
          </w:p>
        </w:tc>
        <w:tc>
          <w:tcPr>
            <w:tcW w:w="200" w:type="dxa"/>
            <w:vAlign w:val="bottom"/>
          </w:tcPr>
          <w:p>
            <w:pPr>
              <w:spacing w:after="0"/>
              <w:rPr>
                <w:sz w:val="16"/>
                <w:szCs w:val="16"/>
                <w:color w:val="auto"/>
              </w:rPr>
            </w:pPr>
          </w:p>
        </w:tc>
        <w:tc>
          <w:tcPr>
            <w:tcW w:w="1180" w:type="dxa"/>
            <w:vAlign w:val="bottom"/>
          </w:tcPr>
          <w:p>
            <w:pPr>
              <w:jc w:val="right"/>
              <w:spacing w:after="0" w:line="195" w:lineRule="exact"/>
              <w:rPr>
                <w:sz w:val="20"/>
                <w:szCs w:val="20"/>
                <w:color w:val="auto"/>
              </w:rPr>
            </w:pPr>
            <w:r>
              <w:rPr>
                <w:rFonts w:ascii="Arial" w:cs="Arial" w:eastAsia="Arial" w:hAnsi="Arial"/>
                <w:sz w:val="18"/>
                <w:szCs w:val="18"/>
                <w:color w:val="auto"/>
              </w:rPr>
              <w:t>(10,311)</w:t>
            </w:r>
          </w:p>
        </w:tc>
        <w:tc>
          <w:tcPr>
            <w:tcW w:w="60" w:type="dxa"/>
            <w:vAlign w:val="bottom"/>
          </w:tcPr>
          <w:p>
            <w:pPr>
              <w:spacing w:after="0"/>
              <w:rPr>
                <w:sz w:val="16"/>
                <w:szCs w:val="16"/>
                <w:color w:val="auto"/>
              </w:rPr>
            </w:pPr>
          </w:p>
        </w:tc>
      </w:tr>
      <w:tr>
        <w:trPr>
          <w:trHeight w:val="244"/>
        </w:trPr>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(25,412)</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(30,367)</w:t>
            </w:r>
          </w:p>
        </w:tc>
      </w:tr>
      <w:tr>
        <w:trPr>
          <w:trHeight w:val="228"/>
        </w:trPr>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74,474</w:t>
            </w:r>
          </w:p>
        </w:tc>
        <w:tc>
          <w:tcPr>
            <w:tcW w:w="20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66,870</w:t>
            </w:r>
          </w:p>
        </w:tc>
        <w:tc>
          <w:tcPr>
            <w:tcW w:w="60" w:type="dxa"/>
            <w:vAlign w:val="bottom"/>
          </w:tcPr>
          <w:p>
            <w:pPr>
              <w:spacing w:after="0"/>
              <w:rPr>
                <w:sz w:val="19"/>
                <w:szCs w:val="19"/>
                <w:color w:val="auto"/>
              </w:rPr>
            </w:pPr>
          </w:p>
        </w:tc>
      </w:tr>
      <w:tr>
        <w:trPr>
          <w:trHeight w:val="454"/>
        </w:trPr>
        <w:tc>
          <w:tcPr>
            <w:tcW w:w="1200" w:type="dxa"/>
            <w:vAlign w:val="bottom"/>
          </w:tcPr>
          <w:p>
            <w:pPr>
              <w:jc w:val="right"/>
              <w:spacing w:after="0"/>
              <w:rPr>
                <w:sz w:val="20"/>
                <w:szCs w:val="20"/>
                <w:color w:val="auto"/>
              </w:rPr>
            </w:pPr>
            <w:r>
              <w:rPr>
                <w:rFonts w:ascii="Arial" w:cs="Arial" w:eastAsia="Arial" w:hAnsi="Arial"/>
                <w:sz w:val="18"/>
                <w:szCs w:val="18"/>
                <w:color w:val="auto"/>
              </w:rPr>
              <w:t>6,384,687</w:t>
            </w:r>
          </w:p>
        </w:tc>
        <w:tc>
          <w:tcPr>
            <w:tcW w:w="20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6,682,445</w:t>
            </w:r>
          </w:p>
        </w:tc>
        <w:tc>
          <w:tcPr>
            <w:tcW w:w="60" w:type="dxa"/>
            <w:vAlign w:val="bottom"/>
          </w:tcPr>
          <w:p>
            <w:pPr>
              <w:spacing w:after="0"/>
              <w:rPr>
                <w:sz w:val="24"/>
                <w:szCs w:val="24"/>
                <w:color w:val="auto"/>
              </w:rPr>
            </w:pPr>
          </w:p>
        </w:tc>
      </w:tr>
      <w:tr>
        <w:trPr>
          <w:trHeight w:val="270"/>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367,003</w:t>
            </w:r>
          </w:p>
        </w:tc>
        <w:tc>
          <w:tcPr>
            <w:tcW w:w="200" w:type="dxa"/>
            <w:vAlign w:val="bottom"/>
          </w:tcPr>
          <w:p>
            <w:pPr>
              <w:spacing w:after="0"/>
              <w:rPr>
                <w:sz w:val="23"/>
                <w:szCs w:val="23"/>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437,436</w:t>
            </w:r>
          </w:p>
        </w:tc>
        <w:tc>
          <w:tcPr>
            <w:tcW w:w="60" w:type="dxa"/>
            <w:vAlign w:val="bottom"/>
          </w:tcPr>
          <w:p>
            <w:pPr>
              <w:spacing w:after="0"/>
              <w:rPr>
                <w:sz w:val="23"/>
                <w:szCs w:val="23"/>
                <w:color w:val="auto"/>
              </w:rPr>
            </w:pPr>
          </w:p>
        </w:tc>
      </w:tr>
      <w:tr>
        <w:trPr>
          <w:trHeight w:val="223"/>
        </w:trPr>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6,751,690</w:t>
            </w:r>
          </w:p>
        </w:tc>
        <w:tc>
          <w:tcPr>
            <w:tcW w:w="20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7,119,881</w:t>
            </w:r>
          </w:p>
        </w:tc>
        <w:tc>
          <w:tcPr>
            <w:tcW w:w="60" w:type="dxa"/>
            <w:vAlign w:val="bottom"/>
          </w:tcPr>
          <w:p>
            <w:pPr>
              <w:spacing w:after="0"/>
              <w:rPr>
                <w:sz w:val="19"/>
                <w:szCs w:val="19"/>
                <w:color w:val="auto"/>
              </w:rPr>
            </w:pPr>
          </w:p>
        </w:tc>
      </w:tr>
      <w:tr>
        <w:trPr>
          <w:trHeight w:val="20"/>
        </w:trPr>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7820" w:space="720"/>
            <w:col w:w="2880"/>
          </w:cols>
          <w:pgMar w:left="240" w:top="904" w:right="239" w:bottom="1440" w:gutter="0" w:footer="0" w:header="0"/>
          <w:type w:val="continuous"/>
        </w:sectPr>
      </w:pPr>
    </w:p>
    <w:p>
      <w:pPr>
        <w:spacing w:after="0" w:line="16"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Treasury</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Interest income</w:t>
            </w:r>
          </w:p>
        </w:tc>
        <w:tc>
          <w:tcPr>
            <w:tcW w:w="1200" w:type="dxa"/>
            <w:vAlign w:val="bottom"/>
          </w:tcPr>
          <w:p>
            <w:pPr>
              <w:jc w:val="right"/>
              <w:spacing w:after="0"/>
              <w:rPr>
                <w:sz w:val="20"/>
                <w:szCs w:val="20"/>
                <w:color w:val="auto"/>
              </w:rPr>
            </w:pPr>
            <w:r>
              <w:rPr>
                <w:rFonts w:ascii="Arial" w:cs="Arial" w:eastAsia="Arial" w:hAnsi="Arial"/>
                <w:sz w:val="18"/>
                <w:szCs w:val="18"/>
                <w:color w:val="auto"/>
              </w:rPr>
              <w:t>7,422</w:t>
            </w:r>
          </w:p>
        </w:tc>
        <w:tc>
          <w:tcPr>
            <w:tcW w:w="200" w:type="dxa"/>
            <w:vAlign w:val="bottom"/>
          </w:tcPr>
          <w:p>
            <w:pPr>
              <w:spacing w:after="0"/>
              <w:rPr>
                <w:sz w:val="18"/>
                <w:szCs w:val="18"/>
                <w:color w:val="auto"/>
              </w:rPr>
            </w:pP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8,121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4,721</w:t>
            </w:r>
          </w:p>
        </w:tc>
        <w:tc>
          <w:tcPr>
            <w:tcW w:w="20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6,112</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Net interest income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12,143</w:t>
            </w:r>
          </w:p>
        </w:tc>
        <w:tc>
          <w:tcPr>
            <w:tcW w:w="2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14,233</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802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(4,379)</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8,516</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7,764</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22,749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for expected credit losses on investment securities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(276)</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(543)</w:t>
            </w:r>
          </w:p>
        </w:tc>
        <w:tc>
          <w:tcPr>
            <w:tcW w:w="100" w:type="dxa"/>
            <w:vAlign w:val="bottom"/>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Expenses</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(8,261)</w:t>
            </w:r>
          </w:p>
        </w:tc>
        <w:tc>
          <w:tcPr>
            <w:tcW w:w="1280" w:type="dxa"/>
            <w:vAlign w:val="bottom"/>
            <w:gridSpan w:val="3"/>
          </w:tcPr>
          <w:p>
            <w:pPr>
              <w:jc w:val="right"/>
              <w:ind w:right="40"/>
              <w:spacing w:after="0"/>
              <w:rPr>
                <w:sz w:val="20"/>
                <w:szCs w:val="20"/>
                <w:color w:val="auto"/>
              </w:rPr>
            </w:pPr>
            <w:r>
              <w:rPr>
                <w:rFonts w:ascii="Arial" w:cs="Arial" w:eastAsia="Arial" w:hAnsi="Arial"/>
                <w:sz w:val="18"/>
                <w:szCs w:val="18"/>
                <w:color w:val="auto"/>
              </w:rPr>
              <w:t>(8,318)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(773)</w:t>
            </w: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13,888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80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Treasury assets and contingencies (end of period balances):</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8020" w:type="dxa"/>
            <w:vAlign w:val="bottom"/>
            <w:tcBorders>
              <w:bottom w:val="single" w:sz="8" w:color="CCEEFF"/>
            </w:tcBorders>
          </w:tcPr>
          <w:p>
            <w:pPr>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(3 and 5)</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900,127</w:t>
            </w:r>
          </w:p>
        </w:tc>
        <w:tc>
          <w:tcPr>
            <w:tcW w:w="200" w:type="dxa"/>
            <w:vAlign w:val="bottom"/>
            <w:tcBorders>
              <w:bottom w:val="single" w:sz="8" w:color="CCEEFF"/>
            </w:tcBorders>
          </w:tcPr>
          <w:p>
            <w:pPr>
              <w:spacing w:after="0"/>
              <w:rPr>
                <w:sz w:val="23"/>
                <w:szCs w:val="23"/>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1,603,395</w:t>
            </w:r>
          </w:p>
        </w:tc>
        <w:tc>
          <w:tcPr>
            <w:tcW w:w="20" w:type="dxa"/>
            <w:vAlign w:val="bottom"/>
            <w:tcBorders>
              <w:bottom w:val="single" w:sz="8" w:color="CCEEFF"/>
            </w:tcBorders>
          </w:tcPr>
          <w:p>
            <w:pPr>
              <w:spacing w:after="0"/>
              <w:rPr>
                <w:sz w:val="23"/>
                <w:szCs w:val="23"/>
                <w:color w:val="auto"/>
              </w:rPr>
            </w:pPr>
          </w:p>
        </w:tc>
        <w:tc>
          <w:tcPr>
            <w:tcW w:w="80" w:type="dxa"/>
            <w:vAlign w:val="bottom"/>
            <w:tcBorders>
              <w:bottom w:val="single" w:sz="8" w:color="CCEEFF"/>
            </w:tcBorders>
          </w:tcPr>
          <w:p>
            <w:pPr>
              <w:spacing w:after="0"/>
              <w:rPr>
                <w:sz w:val="23"/>
                <w:szCs w:val="23"/>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02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interest-earning assets, other assets and contingencies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900,127</w:t>
            </w:r>
          </w:p>
        </w:tc>
        <w:tc>
          <w:tcPr>
            <w:tcW w:w="20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1,603,395</w:t>
            </w:r>
          </w:p>
        </w:tc>
        <w:tc>
          <w:tcPr>
            <w:tcW w:w="2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80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Combined business segment total</w:t>
            </w: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Interest income</w:t>
            </w:r>
          </w:p>
        </w:tc>
        <w:tc>
          <w:tcPr>
            <w:tcW w:w="1200" w:type="dxa"/>
            <w:vAlign w:val="bottom"/>
          </w:tcPr>
          <w:p>
            <w:pPr>
              <w:jc w:val="right"/>
              <w:spacing w:after="0"/>
              <w:rPr>
                <w:sz w:val="20"/>
                <w:szCs w:val="20"/>
                <w:color w:val="auto"/>
              </w:rPr>
            </w:pPr>
            <w:r>
              <w:rPr>
                <w:rFonts w:ascii="Arial" w:cs="Arial" w:eastAsia="Arial" w:hAnsi="Arial"/>
                <w:sz w:val="18"/>
                <w:szCs w:val="18"/>
                <w:color w:val="auto"/>
              </w:rPr>
              <w:t>184,448</w:t>
            </w:r>
          </w:p>
        </w:tc>
        <w:tc>
          <w:tcPr>
            <w:tcW w:w="200" w:type="dxa"/>
            <w:vAlign w:val="bottom"/>
          </w:tcPr>
          <w:p>
            <w:pPr>
              <w:spacing w:after="0"/>
              <w:rPr>
                <w:sz w:val="18"/>
                <w:szCs w:val="18"/>
                <w:color w:val="auto"/>
              </w:rPr>
            </w:pP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162,186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(66,924)</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(54,485)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Net interest income</w:t>
            </w: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117,524</w:t>
            </w:r>
          </w:p>
        </w:tc>
        <w:tc>
          <w:tcPr>
            <w:tcW w:w="20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107,701</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802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7,253</w:t>
            </w:r>
          </w:p>
        </w:tc>
        <w:tc>
          <w:tcPr>
            <w:tcW w:w="200" w:type="dxa"/>
            <w:vAlign w:val="bottom"/>
            <w:shd w:val="clear" w:color="auto" w:fill="CCEEFF"/>
          </w:tcPr>
          <w:p>
            <w:pPr>
              <w:spacing w:after="0"/>
              <w:rPr>
                <w:sz w:val="23"/>
                <w:szCs w:val="23"/>
                <w:color w:val="auto"/>
              </w:rPr>
            </w:pP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22,596</w:t>
            </w:r>
          </w:p>
        </w:tc>
        <w:tc>
          <w:tcPr>
            <w:tcW w:w="80" w:type="dxa"/>
            <w:vAlign w:val="bottom"/>
            <w:shd w:val="clear" w:color="auto" w:fill="CCEEFF"/>
          </w:tcPr>
          <w:p>
            <w:pPr>
              <w:spacing w:after="0"/>
              <w:rPr>
                <w:sz w:val="23"/>
                <w:szCs w:val="23"/>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income</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124,777</w:t>
            </w:r>
          </w:p>
        </w:tc>
        <w:tc>
          <w:tcPr>
            <w:tcW w:w="20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130,297</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from expected credit losses on loans at amortized cost and credit contingencies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(17,127)</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(10,311)</w:t>
            </w:r>
          </w:p>
        </w:tc>
        <w:tc>
          <w:tcPr>
            <w:tcW w:w="100" w:type="dxa"/>
            <w:vAlign w:val="bottom"/>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Impairment loss from expected credit losses on investment securities</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(276)</w:t>
            </w:r>
          </w:p>
        </w:tc>
        <w:tc>
          <w:tcPr>
            <w:tcW w:w="1280" w:type="dxa"/>
            <w:vAlign w:val="bottom"/>
            <w:gridSpan w:val="3"/>
          </w:tcPr>
          <w:p>
            <w:pPr>
              <w:jc w:val="right"/>
              <w:ind w:right="40"/>
              <w:spacing w:after="0"/>
              <w:rPr>
                <w:sz w:val="20"/>
                <w:szCs w:val="20"/>
                <w:color w:val="auto"/>
              </w:rPr>
            </w:pPr>
            <w:r>
              <w:rPr>
                <w:rFonts w:ascii="Arial" w:cs="Arial" w:eastAsia="Arial" w:hAnsi="Arial"/>
                <w:sz w:val="18"/>
                <w:szCs w:val="18"/>
                <w:color w:val="auto"/>
              </w:rPr>
              <w:t>(543)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020" w:type="dxa"/>
            <w:vAlign w:val="bottom"/>
            <w:shd w:val="clear" w:color="auto" w:fill="CCEEFF"/>
          </w:tcPr>
          <w:p>
            <w:pPr>
              <w:spacing w:after="0"/>
              <w:rPr>
                <w:sz w:val="20"/>
                <w:szCs w:val="20"/>
                <w:color w:val="auto"/>
              </w:rPr>
            </w:pPr>
            <w:r>
              <w:rPr>
                <w:rFonts w:ascii="Arial" w:cs="Arial" w:eastAsia="Arial" w:hAnsi="Arial"/>
                <w:sz w:val="18"/>
                <w:szCs w:val="18"/>
                <w:color w:val="auto"/>
              </w:rPr>
              <w:t>Expenses</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(33,673)</w:t>
            </w:r>
          </w:p>
        </w:tc>
        <w:tc>
          <w:tcPr>
            <w:tcW w:w="128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(38,685)</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8020" w:type="dxa"/>
            <w:vAlign w:val="bottom"/>
          </w:tcPr>
          <w:p>
            <w:pPr>
              <w:spacing w:after="0"/>
              <w:rPr>
                <w:sz w:val="20"/>
                <w:szCs w:val="20"/>
                <w:color w:val="auto"/>
              </w:rPr>
            </w:pPr>
            <w:r>
              <w:rPr>
                <w:rFonts w:ascii="Arial" w:cs="Arial" w:eastAsia="Arial" w:hAnsi="Arial"/>
                <w:sz w:val="18"/>
                <w:szCs w:val="18"/>
                <w:color w:val="auto"/>
              </w:rPr>
              <w:t>Profit for the period</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73,701</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80,758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0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ind w:left="820" w:hanging="326"/>
        <w:spacing w:after="0" w:line="194"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 The balances for 2015 correspond to December 31, 2015 figures.</w:t>
      </w:r>
    </w:p>
    <w:p>
      <w:pPr>
        <w:ind w:left="820" w:hanging="326"/>
        <w:spacing w:after="0" w:line="187"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consists of other income including gains (loss) per financial instrument at FVTPL and FVOCI, derivative instruments and foreign currency exchange.</w:t>
      </w:r>
    </w:p>
    <w:p>
      <w:pPr>
        <w:spacing w:after="0" w:line="2" w:lineRule="exact"/>
        <w:rPr>
          <w:rFonts w:ascii="Arial" w:cs="Arial" w:eastAsia="Arial" w:hAnsi="Arial"/>
          <w:sz w:val="30"/>
          <w:szCs w:val="30"/>
          <w:b w:val="1"/>
          <w:bCs w:val="1"/>
          <w:color w:val="auto"/>
          <w:vertAlign w:val="superscript"/>
        </w:rPr>
      </w:pPr>
    </w:p>
    <w:p>
      <w:pPr>
        <w:ind w:left="820" w:hanging="326"/>
        <w:spacing w:after="0" w:line="180" w:lineRule="auto"/>
        <w:tabs>
          <w:tab w:leader="none" w:pos="820" w:val="left"/>
        </w:tabs>
        <w:numPr>
          <w:ilvl w:val="0"/>
          <w:numId w:val="52"/>
        </w:numPr>
        <w:rPr>
          <w:rFonts w:ascii="Arial" w:cs="Arial" w:eastAsia="Arial" w:hAnsi="Arial"/>
          <w:sz w:val="25"/>
          <w:szCs w:val="25"/>
          <w:b w:val="1"/>
          <w:bCs w:val="1"/>
          <w:color w:val="auto"/>
          <w:vertAlign w:val="superscript"/>
        </w:rPr>
      </w:pPr>
      <w:r>
        <w:rPr>
          <w:rFonts w:ascii="Arial" w:cs="Arial" w:eastAsia="Arial" w:hAnsi="Arial"/>
          <w:sz w:val="16"/>
          <w:szCs w:val="16"/>
          <w:color w:val="auto"/>
        </w:rPr>
        <w:t>Includes deposits and loans at amortized cost, net of unearned interest and deferred fees.</w:t>
      </w:r>
    </w:p>
    <w:p>
      <w:pPr>
        <w:spacing w:after="0" w:line="2" w:lineRule="exact"/>
        <w:rPr>
          <w:rFonts w:ascii="Arial" w:cs="Arial" w:eastAsia="Arial" w:hAnsi="Arial"/>
          <w:sz w:val="25"/>
          <w:szCs w:val="25"/>
          <w:b w:val="1"/>
          <w:bCs w:val="1"/>
          <w:color w:val="auto"/>
          <w:vertAlign w:val="superscript"/>
        </w:rPr>
      </w:pPr>
    </w:p>
    <w:p>
      <w:pPr>
        <w:ind w:left="820" w:hanging="326"/>
        <w:spacing w:after="0" w:line="186" w:lineRule="auto"/>
        <w:tabs>
          <w:tab w:leader="none" w:pos="820" w:val="left"/>
        </w:tabs>
        <w:numPr>
          <w:ilvl w:val="0"/>
          <w:numId w:val="52"/>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letters of credit and guarantees covering commercial and country risk, and credit commitments.</w:t>
      </w:r>
    </w:p>
    <w:p>
      <w:pPr>
        <w:spacing w:after="0" w:line="2" w:lineRule="exact"/>
        <w:rPr>
          <w:rFonts w:ascii="Arial" w:cs="Arial" w:eastAsia="Arial" w:hAnsi="Arial"/>
          <w:sz w:val="24"/>
          <w:szCs w:val="24"/>
          <w:b w:val="1"/>
          <w:bCs w:val="1"/>
          <w:color w:val="auto"/>
          <w:vertAlign w:val="superscript"/>
        </w:rPr>
      </w:pPr>
    </w:p>
    <w:p>
      <w:pPr>
        <w:ind w:left="820" w:hanging="326"/>
        <w:spacing w:after="0" w:line="187" w:lineRule="auto"/>
        <w:tabs>
          <w:tab w:leader="none" w:pos="820" w:val="left"/>
        </w:tabs>
        <w:numPr>
          <w:ilvl w:val="0"/>
          <w:numId w:val="52"/>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due from banks, interest-bearing deposits with banks, financial instruments at fair value through OCI and financial instruments at amortized cost and financial instruments to fair value to profit or loss and investment fund.</w:t>
      </w:r>
    </w:p>
    <w:p>
      <w:pPr>
        <w:spacing w:after="0" w:line="200" w:lineRule="exact"/>
        <w:rPr>
          <w:sz w:val="20"/>
          <w:szCs w:val="20"/>
          <w:color w:val="auto"/>
        </w:rPr>
      </w:pPr>
    </w:p>
    <w:p>
      <w:pPr>
        <w:spacing w:after="0" w:line="218" w:lineRule="exact"/>
        <w:rPr>
          <w:sz w:val="20"/>
          <w:szCs w:val="20"/>
          <w:color w:val="auto"/>
        </w:rPr>
      </w:pPr>
    </w:p>
    <w:p>
      <w:pPr>
        <w:jc w:val="center"/>
        <w:ind w:right="-79"/>
        <w:spacing w:after="0"/>
        <w:rPr>
          <w:sz w:val="20"/>
          <w:szCs w:val="20"/>
          <w:color w:val="auto"/>
        </w:rPr>
      </w:pPr>
      <w:r>
        <w:rPr>
          <w:rFonts w:ascii="Arial" w:cs="Arial" w:eastAsia="Arial" w:hAnsi="Arial"/>
          <w:sz w:val="18"/>
          <w:szCs w:val="18"/>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50" w:name="page51"/>
    <w:bookmarkEnd w:id="5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p>
      <w:pPr>
        <w:spacing w:after="0" w:line="156" w:lineRule="exact"/>
        <w:rPr>
          <w:sz w:val="20"/>
          <w:szCs w:val="20"/>
          <w:color w:val="auto"/>
        </w:rPr>
      </w:pPr>
    </w:p>
    <w:p>
      <w:pPr>
        <w:ind w:left="500" w:hanging="492"/>
        <w:spacing w:after="0"/>
        <w:tabs>
          <w:tab w:leader="none" w:pos="50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00" w:lineRule="exact"/>
        <w:rPr>
          <w:rFonts w:ascii="Arial" w:cs="Arial" w:eastAsia="Arial" w:hAnsi="Arial"/>
          <w:sz w:val="18"/>
          <w:szCs w:val="18"/>
          <w:b w:val="1"/>
          <w:bCs w:val="1"/>
          <w:color w:val="auto"/>
        </w:rPr>
      </w:pPr>
    </w:p>
    <w:p>
      <w:pPr>
        <w:spacing w:after="0" w:line="200" w:lineRule="exact"/>
        <w:rPr>
          <w:rFonts w:ascii="Arial" w:cs="Arial" w:eastAsia="Arial" w:hAnsi="Arial"/>
          <w:sz w:val="18"/>
          <w:szCs w:val="18"/>
          <w:b w:val="1"/>
          <w:bCs w:val="1"/>
          <w:color w:val="auto"/>
        </w:rPr>
      </w:pPr>
    </w:p>
    <w:p>
      <w:pPr>
        <w:spacing w:after="0" w:line="315" w:lineRule="exact"/>
        <w:rPr>
          <w:rFonts w:ascii="Arial" w:cs="Arial" w:eastAsia="Arial" w:hAnsi="Arial"/>
          <w:sz w:val="18"/>
          <w:szCs w:val="18"/>
          <w:b w:val="1"/>
          <w:bCs w:val="1"/>
          <w:color w:val="auto"/>
        </w:rPr>
      </w:pPr>
    </w:p>
    <w:p>
      <w:pPr>
        <w:ind w:left="500" w:right="3340"/>
        <w:spacing w:after="0" w:line="230" w:lineRule="auto"/>
        <w:rPr>
          <w:rFonts w:ascii="Arial" w:cs="Arial" w:eastAsia="Arial" w:hAnsi="Arial"/>
          <w:sz w:val="18"/>
          <w:szCs w:val="18"/>
          <w:b w:val="1"/>
          <w:bCs w:val="1"/>
          <w:color w:val="auto"/>
        </w:rPr>
      </w:pPr>
      <w:r>
        <w:rPr>
          <w:rFonts w:ascii="Arial" w:cs="Arial" w:eastAsia="Arial" w:hAnsi="Arial"/>
          <w:sz w:val="18"/>
          <w:szCs w:val="18"/>
          <w:color w:val="auto"/>
        </w:rPr>
        <w:t xml:space="preserve">Total assets and contingencies (end of period balances): Interest-earning assets </w:t>
      </w:r>
      <w:r>
        <w:rPr>
          <w:rFonts w:ascii="Arial" w:cs="Arial" w:eastAsia="Arial" w:hAnsi="Arial"/>
          <w:sz w:val="30"/>
          <w:szCs w:val="30"/>
          <w:color w:val="auto"/>
          <w:vertAlign w:val="superscript"/>
        </w:rPr>
        <w:t>(2 and 4)</w:t>
      </w:r>
    </w:p>
    <w:p>
      <w:pPr>
        <w:ind w:left="500"/>
        <w:spacing w:after="0" w:line="184" w:lineRule="auto"/>
        <w:rPr>
          <w:rFonts w:ascii="Arial" w:cs="Arial" w:eastAsia="Arial" w:hAnsi="Arial"/>
          <w:sz w:val="18"/>
          <w:szCs w:val="18"/>
          <w:b w:val="1"/>
          <w:bCs w:val="1"/>
          <w:color w:val="auto"/>
        </w:rPr>
      </w:pPr>
      <w:r>
        <w:rPr>
          <w:rFonts w:ascii="Arial" w:cs="Arial" w:eastAsia="Arial" w:hAnsi="Arial"/>
          <w:sz w:val="16"/>
          <w:szCs w:val="16"/>
          <w:color w:val="auto"/>
        </w:rPr>
        <w:t xml:space="preserve">Other assets and contingencies </w:t>
      </w:r>
      <w:r>
        <w:rPr>
          <w:rFonts w:ascii="Arial" w:cs="Arial" w:eastAsia="Arial" w:hAnsi="Arial"/>
          <w:sz w:val="26"/>
          <w:szCs w:val="26"/>
          <w:color w:val="auto"/>
          <w:vertAlign w:val="superscript"/>
        </w:rPr>
        <w:t>(3)</w:t>
      </w:r>
    </w:p>
    <w:p>
      <w:pPr>
        <w:ind w:left="500"/>
        <w:spacing w:after="0"/>
        <w:rPr>
          <w:rFonts w:ascii="Arial" w:cs="Arial" w:eastAsia="Arial" w:hAnsi="Arial"/>
          <w:sz w:val="18"/>
          <w:szCs w:val="18"/>
          <w:b w:val="1"/>
          <w:bCs w:val="1"/>
          <w:color w:val="auto"/>
        </w:rPr>
      </w:pPr>
      <w:r>
        <w:rPr>
          <w:rFonts w:ascii="Arial" w:cs="Arial" w:eastAsia="Arial" w:hAnsi="Arial"/>
          <w:sz w:val="15"/>
          <w:szCs w:val="15"/>
          <w:color w:val="auto"/>
        </w:rPr>
        <w:t>Total interest-earning assets, other assets and contingencies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-281305</wp:posOffset>
            </wp:positionV>
            <wp:extent cx="6809105" cy="17145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6809105" cy="171450"/>
                    </a:xfrm>
                    <a:prstGeom prst="rect">
                      <a:avLst/>
                    </a:prstGeom>
                    <a:noFill/>
                  </pic:spPr>
                </pic:pic>
              </a:graphicData>
            </a:graphic>
          </wp:anchor>
        </w:drawing>
        <w:drawing>
          <wp:anchor simplePos="0" relativeHeight="251657728" behindDoc="1" locked="0" layoutInCell="0" allowOverlap="1">
            <wp:simplePos x="0" y="0"/>
            <wp:positionH relativeFrom="column">
              <wp:posOffset>313690</wp:posOffset>
            </wp:positionH>
            <wp:positionV relativeFrom="paragraph">
              <wp:posOffset>-589915</wp:posOffset>
            </wp:positionV>
            <wp:extent cx="6809105" cy="14605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6809105" cy="14605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September 30,</w:t>
      </w:r>
    </w:p>
    <w:p>
      <w:pPr>
        <w:spacing w:after="0" w:line="39" w:lineRule="exact"/>
        <w:rPr>
          <w:sz w:val="20"/>
          <w:szCs w:val="20"/>
          <w:color w:val="auto"/>
        </w:rPr>
      </w:pPr>
    </w:p>
    <w:p>
      <w:pPr>
        <w:ind w:left="320"/>
        <w:spacing w:after="0"/>
        <w:rPr>
          <w:sz w:val="20"/>
          <w:szCs w:val="20"/>
          <w:color w:val="auto"/>
        </w:rPr>
      </w:pPr>
      <w:r>
        <w:rPr>
          <w:rFonts w:ascii="Arial" w:cs="Arial" w:eastAsia="Arial" w:hAnsi="Arial"/>
          <w:sz w:val="18"/>
          <w:szCs w:val="18"/>
          <w:b w:val="1"/>
          <w:bCs w:val="1"/>
          <w:color w:val="auto"/>
        </w:rPr>
        <w:t>2016</w:t>
      </w:r>
      <w:r>
        <w:rPr>
          <w:rFonts w:ascii="Arial" w:cs="Arial" w:eastAsia="Arial" w:hAnsi="Arial"/>
          <w:sz w:val="30"/>
          <w:szCs w:val="30"/>
          <w:b w:val="1"/>
          <w:bCs w:val="1"/>
          <w:color w:val="auto"/>
          <w:vertAlign w:val="superscript"/>
        </w:rPr>
        <w:t>(1)</w:t>
      </w:r>
    </w:p>
    <w:p>
      <w:pPr>
        <w:spacing w:after="0" w:line="16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7,284,814</w:t>
      </w:r>
    </w:p>
    <w:p>
      <w:pPr>
        <w:spacing w:after="0" w:line="6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367,003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-10160</wp:posOffset>
            </wp:positionH>
            <wp:positionV relativeFrom="paragraph">
              <wp:posOffset>14605</wp:posOffset>
            </wp:positionV>
            <wp:extent cx="75438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12"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7,651,817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-10160</wp:posOffset>
            </wp:positionH>
            <wp:positionV relativeFrom="paragraph">
              <wp:posOffset>17145</wp:posOffset>
            </wp:positionV>
            <wp:extent cx="75438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54380" cy="8890"/>
                    </a:xfrm>
                    <a:prstGeom prst="rect">
                      <a:avLst/>
                    </a:prstGeom>
                    <a:noFill/>
                  </pic:spPr>
                </pic:pic>
              </a:graphicData>
            </a:graphic>
          </wp:anchor>
        </w:drawing>
        <w:drawing>
          <wp:anchor simplePos="0" relativeHeight="251657728" behindDoc="1" locked="0" layoutInCell="0" allowOverlap="1">
            <wp:simplePos x="0" y="0"/>
            <wp:positionH relativeFrom="column">
              <wp:posOffset>-10160</wp:posOffset>
            </wp:positionH>
            <wp:positionV relativeFrom="paragraph">
              <wp:posOffset>34290</wp:posOffset>
            </wp:positionV>
            <wp:extent cx="75438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5438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68" w:lineRule="exact"/>
        <w:rPr>
          <w:sz w:val="20"/>
          <w:szCs w:val="20"/>
          <w:color w:val="auto"/>
        </w:rPr>
      </w:pPr>
    </w:p>
    <w:p>
      <w:pPr>
        <w:jc w:val="center"/>
        <w:ind w:right="360"/>
        <w:spacing w:after="0"/>
        <w:rPr>
          <w:sz w:val="20"/>
          <w:szCs w:val="20"/>
          <w:color w:val="auto"/>
        </w:rPr>
      </w:pPr>
      <w:r>
        <w:rPr>
          <w:rFonts w:ascii="Arial" w:cs="Arial" w:eastAsia="Arial" w:hAnsi="Arial"/>
          <w:sz w:val="15"/>
          <w:szCs w:val="15"/>
          <w:b w:val="1"/>
          <w:bCs w:val="1"/>
          <w:color w:val="auto"/>
        </w:rPr>
        <w:t>December 31,</w:t>
      </w:r>
    </w:p>
    <w:p>
      <w:pPr>
        <w:spacing w:after="0" w:line="62" w:lineRule="exact"/>
        <w:rPr>
          <w:sz w:val="20"/>
          <w:szCs w:val="20"/>
          <w:color w:val="auto"/>
        </w:rPr>
      </w:pPr>
    </w:p>
    <w:p>
      <w:pPr>
        <w:jc w:val="center"/>
        <w:ind w:right="360"/>
        <w:spacing w:after="0"/>
        <w:rPr>
          <w:sz w:val="20"/>
          <w:szCs w:val="20"/>
          <w:color w:val="auto"/>
        </w:rPr>
      </w:pPr>
      <w:r>
        <w:rPr>
          <w:rFonts w:ascii="Arial" w:cs="Arial" w:eastAsia="Arial" w:hAnsi="Arial"/>
          <w:sz w:val="18"/>
          <w:szCs w:val="18"/>
          <w:b w:val="1"/>
          <w:bCs w:val="1"/>
          <w:color w:val="auto"/>
        </w:rPr>
        <w:t>2015</w:t>
      </w:r>
      <w:r>
        <w:rPr>
          <w:rFonts w:ascii="Arial" w:cs="Arial" w:eastAsia="Arial" w:hAnsi="Arial"/>
          <w:sz w:val="30"/>
          <w:szCs w:val="30"/>
          <w:b w:val="1"/>
          <w:bCs w:val="1"/>
          <w:color w:val="auto"/>
          <w:vertAlign w:val="superscript"/>
        </w:rPr>
        <w:t>(1)</w:t>
      </w:r>
    </w:p>
    <w:p>
      <w:pPr>
        <w:spacing w:after="0" w:line="167" w:lineRule="exact"/>
        <w:rPr>
          <w:sz w:val="20"/>
          <w:szCs w:val="20"/>
          <w:color w:val="auto"/>
        </w:rPr>
      </w:pPr>
    </w:p>
    <w:p>
      <w:pPr>
        <w:ind w:left="380"/>
        <w:spacing w:after="0"/>
        <w:rPr>
          <w:sz w:val="20"/>
          <w:szCs w:val="20"/>
          <w:color w:val="auto"/>
        </w:rPr>
      </w:pPr>
      <w:r>
        <w:rPr>
          <w:rFonts w:ascii="Arial" w:cs="Arial" w:eastAsia="Arial" w:hAnsi="Arial"/>
          <w:sz w:val="16"/>
          <w:szCs w:val="16"/>
          <w:color w:val="auto"/>
        </w:rPr>
        <w:t>8,286,366</w:t>
      </w:r>
    </w:p>
    <w:p>
      <w:pPr>
        <w:spacing w:after="0" w:line="86" w:lineRule="exact"/>
        <w:rPr>
          <w:sz w:val="20"/>
          <w:szCs w:val="20"/>
          <w:color w:val="auto"/>
        </w:rPr>
      </w:pPr>
    </w:p>
    <w:p>
      <w:pPr>
        <w:jc w:val="right"/>
        <w:ind w:right="300"/>
        <w:spacing w:after="0"/>
        <w:rPr>
          <w:sz w:val="20"/>
          <w:szCs w:val="20"/>
          <w:color w:val="auto"/>
        </w:rPr>
      </w:pPr>
      <w:r>
        <w:rPr>
          <w:rFonts w:ascii="Arial" w:cs="Arial" w:eastAsia="Arial" w:hAnsi="Arial"/>
          <w:sz w:val="18"/>
          <w:szCs w:val="18"/>
          <w:color w:val="auto"/>
        </w:rPr>
        <w:t>437,436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-45085</wp:posOffset>
            </wp:positionH>
            <wp:positionV relativeFrom="paragraph">
              <wp:posOffset>14605</wp:posOffset>
            </wp:positionV>
            <wp:extent cx="746125"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12" w:lineRule="exact"/>
        <w:rPr>
          <w:sz w:val="20"/>
          <w:szCs w:val="20"/>
          <w:color w:val="auto"/>
        </w:rPr>
      </w:pPr>
    </w:p>
    <w:p>
      <w:pPr>
        <w:ind w:left="380"/>
        <w:spacing w:after="0"/>
        <w:rPr>
          <w:sz w:val="20"/>
          <w:szCs w:val="20"/>
          <w:color w:val="auto"/>
        </w:rPr>
      </w:pPr>
      <w:r>
        <w:rPr>
          <w:rFonts w:ascii="Arial" w:cs="Arial" w:eastAsia="Arial" w:hAnsi="Arial"/>
          <w:sz w:val="16"/>
          <w:szCs w:val="16"/>
          <w:b w:val="1"/>
          <w:bCs w:val="1"/>
          <w:color w:val="auto"/>
        </w:rPr>
        <w:t>8,723,802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-45085</wp:posOffset>
            </wp:positionH>
            <wp:positionV relativeFrom="paragraph">
              <wp:posOffset>31750</wp:posOffset>
            </wp:positionV>
            <wp:extent cx="746125"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46125" cy="8890"/>
                    </a:xfrm>
                    <a:prstGeom prst="rect">
                      <a:avLst/>
                    </a:prstGeom>
                    <a:noFill/>
                  </pic:spPr>
                </pic:pic>
              </a:graphicData>
            </a:graphic>
          </wp:anchor>
        </w:drawing>
        <w:drawing>
          <wp:anchor simplePos="0" relativeHeight="251657728" behindDoc="1" locked="0" layoutInCell="0" allowOverlap="1">
            <wp:simplePos x="0" y="0"/>
            <wp:positionH relativeFrom="column">
              <wp:posOffset>-45085</wp:posOffset>
            </wp:positionH>
            <wp:positionV relativeFrom="paragraph">
              <wp:posOffset>48895</wp:posOffset>
            </wp:positionV>
            <wp:extent cx="746125"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46125" cy="8890"/>
                    </a:xfrm>
                    <a:prstGeom prst="rect">
                      <a:avLst/>
                    </a:prstGeom>
                    <a:noFill/>
                  </pic:spPr>
                </pic:pic>
              </a:graphicData>
            </a:graphic>
          </wp:anchor>
        </w:drawing>
      </w:r>
    </w:p>
    <w:p>
      <w:pPr>
        <w:spacing w:after="0" w:line="177" w:lineRule="exact"/>
        <w:rPr>
          <w:sz w:val="20"/>
          <w:szCs w:val="20"/>
          <w:color w:val="auto"/>
        </w:rPr>
      </w:pPr>
    </w:p>
    <w:p>
      <w:pPr>
        <w:sectPr>
          <w:pgSz w:w="11900" w:h="16838" w:orient="portrait"/>
          <w:cols w:equalWidth="0" w:num="3">
            <w:col w:w="7840" w:space="720"/>
            <w:col w:w="1180" w:space="280"/>
            <w:col w:w="1400"/>
          </w:cols>
          <w:pgMar w:left="240" w:top="905" w:right="239" w:bottom="1440" w:gutter="0" w:footer="0" w:header="0"/>
          <w:type w:val="continuous"/>
        </w:sectPr>
      </w:pPr>
    </w:p>
    <w:p>
      <w:pPr>
        <w:ind w:left="820" w:hanging="326"/>
        <w:spacing w:after="0"/>
        <w:tabs>
          <w:tab w:leader="none" w:pos="820" w:val="left"/>
        </w:tabs>
        <w:numPr>
          <w:ilvl w:val="0"/>
          <w:numId w:val="54"/>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820" w:hanging="326"/>
        <w:spacing w:after="0" w:line="186" w:lineRule="auto"/>
        <w:tabs>
          <w:tab w:leader="none" w:pos="820" w:val="left"/>
        </w:tabs>
        <w:numPr>
          <w:ilvl w:val="0"/>
          <w:numId w:val="54"/>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deposits and loans at amortized cost, net of unearned interest and deferred fees.</w:t>
      </w:r>
    </w:p>
    <w:p>
      <w:pPr>
        <w:spacing w:after="0" w:line="2" w:lineRule="exact"/>
        <w:rPr>
          <w:rFonts w:ascii="Arial" w:cs="Arial" w:eastAsia="Arial" w:hAnsi="Arial"/>
          <w:sz w:val="24"/>
          <w:szCs w:val="24"/>
          <w:b w:val="1"/>
          <w:bCs w:val="1"/>
          <w:color w:val="auto"/>
          <w:vertAlign w:val="superscript"/>
        </w:rPr>
      </w:pPr>
    </w:p>
    <w:p>
      <w:pPr>
        <w:ind w:left="820" w:hanging="326"/>
        <w:spacing w:after="0" w:line="186" w:lineRule="auto"/>
        <w:tabs>
          <w:tab w:leader="none" w:pos="820" w:val="left"/>
        </w:tabs>
        <w:numPr>
          <w:ilvl w:val="0"/>
          <w:numId w:val="54"/>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letters of credit and guarantees covering commercial and country risk, and credit commitments.</w:t>
      </w:r>
    </w:p>
    <w:p>
      <w:pPr>
        <w:spacing w:after="0" w:line="2" w:lineRule="exact"/>
        <w:rPr>
          <w:rFonts w:ascii="Arial" w:cs="Arial" w:eastAsia="Arial" w:hAnsi="Arial"/>
          <w:sz w:val="24"/>
          <w:szCs w:val="24"/>
          <w:b w:val="1"/>
          <w:bCs w:val="1"/>
          <w:color w:val="auto"/>
          <w:vertAlign w:val="superscript"/>
        </w:rPr>
      </w:pPr>
    </w:p>
    <w:p>
      <w:pPr>
        <w:ind w:left="820" w:hanging="326"/>
        <w:spacing w:after="0" w:line="187" w:lineRule="auto"/>
        <w:tabs>
          <w:tab w:leader="none" w:pos="820" w:val="left"/>
        </w:tabs>
        <w:numPr>
          <w:ilvl w:val="0"/>
          <w:numId w:val="54"/>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due from banks, interest-bearing deposits with banks, financial instruments at fair value through OCI and financial instruments at amortized cost and financial instruments to fair value to profit or loss and investment fund.</w:t>
      </w:r>
    </w:p>
    <w:p>
      <w:pPr>
        <w:spacing w:after="0" w:line="198"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5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2900" w:type="dxa"/>
            <w:vAlign w:val="bottom"/>
          </w:tcPr>
          <w:p>
            <w:pPr>
              <w:spacing w:after="0"/>
              <w:rPr>
                <w:sz w:val="19"/>
                <w:szCs w:val="19"/>
                <w:color w:val="auto"/>
              </w:rPr>
            </w:pPr>
          </w:p>
        </w:tc>
        <w:tc>
          <w:tcPr>
            <w:tcW w:w="3020" w:type="dxa"/>
            <w:vAlign w:val="bottom"/>
          </w:tcPr>
          <w:p>
            <w:pPr>
              <w:spacing w:after="0"/>
              <w:rPr>
                <w:sz w:val="19"/>
                <w:szCs w:val="19"/>
                <w:color w:val="auto"/>
              </w:rPr>
            </w:pPr>
          </w:p>
        </w:tc>
        <w:tc>
          <w:tcPr>
            <w:tcW w:w="140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0"/>
              </w:rPr>
              <w:t>September 30,</w:t>
            </w:r>
          </w:p>
        </w:tc>
        <w:tc>
          <w:tcPr>
            <w:tcW w:w="128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December 31,</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2900" w:type="dxa"/>
            <w:vAlign w:val="bottom"/>
          </w:tcPr>
          <w:p>
            <w:pPr>
              <w:spacing w:after="0"/>
              <w:rPr>
                <w:sz w:val="20"/>
                <w:szCs w:val="20"/>
                <w:color w:val="auto"/>
              </w:rPr>
            </w:pPr>
          </w:p>
        </w:tc>
        <w:tc>
          <w:tcPr>
            <w:tcW w:w="422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20"/>
                <w:szCs w:val="20"/>
                <w:color w:val="auto"/>
              </w:rPr>
            </w:pPr>
          </w:p>
        </w:tc>
        <w:tc>
          <w:tcPr>
            <w:tcW w:w="1180" w:type="dxa"/>
            <w:vAlign w:val="bottom"/>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500" w:type="dxa"/>
            <w:vAlign w:val="bottom"/>
          </w:tcPr>
          <w:p>
            <w:pPr>
              <w:spacing w:after="0"/>
              <w:rPr>
                <w:sz w:val="16"/>
                <w:szCs w:val="16"/>
                <w:color w:val="auto"/>
              </w:rPr>
            </w:pPr>
          </w:p>
        </w:tc>
        <w:tc>
          <w:tcPr>
            <w:tcW w:w="212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Reconciliation of total assets:</w:t>
            </w:r>
          </w:p>
        </w:tc>
        <w:tc>
          <w:tcPr>
            <w:tcW w:w="2900" w:type="dxa"/>
            <w:vAlign w:val="bottom"/>
            <w:tcBorders>
              <w:top w:val="single" w:sz="8" w:color="CCEEFF"/>
              <w:bottom w:val="single" w:sz="8" w:color="CCEEFF"/>
            </w:tcBorders>
            <w:shd w:val="clear" w:color="auto" w:fill="CCEEFF"/>
          </w:tcPr>
          <w:p>
            <w:pPr>
              <w:spacing w:after="0"/>
              <w:rPr>
                <w:sz w:val="16"/>
                <w:szCs w:val="16"/>
                <w:color w:val="auto"/>
              </w:rPr>
            </w:pPr>
          </w:p>
        </w:tc>
        <w:tc>
          <w:tcPr>
            <w:tcW w:w="30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Interest-earning assets – business segment</w:t>
            </w:r>
          </w:p>
        </w:tc>
        <w:tc>
          <w:tcPr>
            <w:tcW w:w="4220" w:type="dxa"/>
            <w:vAlign w:val="bottom"/>
            <w:gridSpan w:val="2"/>
          </w:tcPr>
          <w:p>
            <w:pPr>
              <w:jc w:val="right"/>
              <w:spacing w:after="0"/>
              <w:rPr>
                <w:sz w:val="20"/>
                <w:szCs w:val="20"/>
                <w:color w:val="auto"/>
              </w:rPr>
            </w:pPr>
            <w:r>
              <w:rPr>
                <w:rFonts w:ascii="Arial" w:cs="Arial" w:eastAsia="Arial" w:hAnsi="Arial"/>
                <w:sz w:val="18"/>
                <w:szCs w:val="18"/>
                <w:color w:val="auto"/>
              </w:rPr>
              <w:t>7,284,814</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8,286,366</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8"/>
              </w:rPr>
              <w:t>Allowance for expected credit losses on loans at amortized cost</w:t>
            </w:r>
          </w:p>
        </w:tc>
        <w:tc>
          <w:tcPr>
            <w:tcW w:w="442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(106,335)</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(89,974)</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w w:val="92"/>
              </w:rPr>
              <w:t>Allowance for expected credit losses on securities at amortized cost</w:t>
            </w:r>
          </w:p>
        </w:tc>
        <w:tc>
          <w:tcPr>
            <w:tcW w:w="4420" w:type="dxa"/>
            <w:vAlign w:val="bottom"/>
            <w:gridSpan w:val="3"/>
          </w:tcPr>
          <w:p>
            <w:pPr>
              <w:jc w:val="right"/>
              <w:ind w:right="140"/>
              <w:spacing w:after="0"/>
              <w:rPr>
                <w:sz w:val="20"/>
                <w:szCs w:val="20"/>
                <w:color w:val="auto"/>
              </w:rPr>
            </w:pPr>
            <w:r>
              <w:rPr>
                <w:rFonts w:ascii="Arial" w:cs="Arial" w:eastAsia="Arial" w:hAnsi="Arial"/>
                <w:sz w:val="18"/>
                <w:szCs w:val="18"/>
                <w:color w:val="auto"/>
              </w:rPr>
              <w:t>(654)</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(526)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4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1,715</w:t>
            </w:r>
          </w:p>
        </w:tc>
        <w:tc>
          <w:tcPr>
            <w:tcW w:w="20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15,100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Intangibles, net</w:t>
            </w:r>
          </w:p>
        </w:tc>
        <w:tc>
          <w:tcPr>
            <w:tcW w:w="4220" w:type="dxa"/>
            <w:vAlign w:val="bottom"/>
            <w:gridSpan w:val="2"/>
          </w:tcPr>
          <w:p>
            <w:pPr>
              <w:jc w:val="right"/>
              <w:spacing w:after="0"/>
              <w:rPr>
                <w:sz w:val="20"/>
                <w:szCs w:val="20"/>
                <w:color w:val="auto"/>
              </w:rPr>
            </w:pPr>
            <w:r>
              <w:rPr>
                <w:rFonts w:ascii="Arial" w:cs="Arial" w:eastAsia="Arial" w:hAnsi="Arial"/>
                <w:sz w:val="18"/>
                <w:szCs w:val="18"/>
                <w:color w:val="auto"/>
              </w:rPr>
              <w:t>3,086</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427</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Accrued interest receivable</w:t>
            </w:r>
          </w:p>
        </w:tc>
        <w:tc>
          <w:tcPr>
            <w:tcW w:w="4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45,296</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45,456</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Property and equipment, net</w:t>
            </w:r>
          </w:p>
        </w:tc>
        <w:tc>
          <w:tcPr>
            <w:tcW w:w="4220" w:type="dxa"/>
            <w:vAlign w:val="bottom"/>
            <w:gridSpan w:val="2"/>
          </w:tcPr>
          <w:p>
            <w:pPr>
              <w:jc w:val="right"/>
              <w:spacing w:after="0"/>
              <w:rPr>
                <w:sz w:val="20"/>
                <w:szCs w:val="20"/>
                <w:color w:val="auto"/>
              </w:rPr>
            </w:pPr>
            <w:r>
              <w:rPr>
                <w:rFonts w:ascii="Arial" w:cs="Arial" w:eastAsia="Arial" w:hAnsi="Arial"/>
                <w:sz w:val="18"/>
                <w:szCs w:val="18"/>
                <w:color w:val="auto"/>
              </w:rPr>
              <w:t>6,654</w:t>
            </w:r>
          </w:p>
        </w:tc>
        <w:tc>
          <w:tcPr>
            <w:tcW w:w="200" w:type="dxa"/>
            <w:vAlign w:val="bottom"/>
          </w:tcPr>
          <w:p>
            <w:pPr>
              <w:spacing w:after="0"/>
              <w:rPr>
                <w:sz w:val="18"/>
                <w:szCs w:val="18"/>
                <w:color w:val="auto"/>
              </w:rPr>
            </w:pP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6,173</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5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44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27,369</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7,400</w:t>
            </w: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00" w:type="dxa"/>
            <w:vAlign w:val="bottom"/>
          </w:tcPr>
          <w:p>
            <w:pPr>
              <w:spacing w:after="0"/>
              <w:rPr>
                <w:sz w:val="19"/>
                <w:szCs w:val="19"/>
                <w:color w:val="auto"/>
              </w:rPr>
            </w:pPr>
          </w:p>
        </w:tc>
        <w:tc>
          <w:tcPr>
            <w:tcW w:w="5020" w:type="dxa"/>
            <w:vAlign w:val="bottom"/>
            <w:gridSpan w:val="2"/>
          </w:tcPr>
          <w:p>
            <w:pPr>
              <w:spacing w:after="0"/>
              <w:rPr>
                <w:sz w:val="20"/>
                <w:szCs w:val="20"/>
                <w:color w:val="auto"/>
              </w:rPr>
            </w:pPr>
            <w:r>
              <w:rPr>
                <w:rFonts w:ascii="Arial" w:cs="Arial" w:eastAsia="Arial" w:hAnsi="Arial"/>
                <w:sz w:val="18"/>
                <w:szCs w:val="18"/>
                <w:color w:val="auto"/>
              </w:rPr>
              <w:t>Other assets</w:t>
            </w:r>
          </w:p>
        </w:tc>
        <w:tc>
          <w:tcPr>
            <w:tcW w:w="4420" w:type="dxa"/>
            <w:vAlign w:val="bottom"/>
            <w:gridSpan w:val="3"/>
          </w:tcPr>
          <w:p>
            <w:pPr>
              <w:jc w:val="right"/>
              <w:ind w:right="200"/>
              <w:spacing w:after="0"/>
              <w:rPr>
                <w:sz w:val="20"/>
                <w:szCs w:val="20"/>
                <w:color w:val="auto"/>
              </w:rPr>
            </w:pPr>
            <w:r>
              <w:rPr>
                <w:rFonts w:ascii="Arial" w:cs="Arial" w:eastAsia="Arial" w:hAnsi="Arial"/>
                <w:sz w:val="18"/>
                <w:szCs w:val="18"/>
                <w:color w:val="auto"/>
              </w:rPr>
              <w:t>25,135</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15,794</w:t>
            </w: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50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 consolidated financial statements</w:t>
            </w:r>
          </w:p>
        </w:tc>
        <w:tc>
          <w:tcPr>
            <w:tcW w:w="30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7,287,080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3020" w:type="dxa"/>
            <w:vAlign w:val="bottom"/>
            <w:vMerge w:val="restart"/>
          </w:tcPr>
          <w:p>
            <w:pPr>
              <w:jc w:val="right"/>
              <w:ind w:right="2610"/>
              <w:spacing w:after="0"/>
              <w:rPr>
                <w:sz w:val="20"/>
                <w:szCs w:val="20"/>
                <w:color w:val="auto"/>
              </w:rPr>
            </w:pPr>
            <w:r>
              <w:rPr>
                <w:rFonts w:ascii="Arial" w:cs="Arial" w:eastAsia="Arial" w:hAnsi="Arial"/>
                <w:sz w:val="18"/>
                <w:szCs w:val="18"/>
                <w:color w:val="auto"/>
              </w:rPr>
              <w:t>49</w:t>
            </w: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51" w:name="page52"/>
    <w:bookmarkEnd w:id="5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50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IFRS 13 -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7" w:lineRule="exact"/>
        <w:rPr>
          <w:sz w:val="20"/>
          <w:szCs w:val="20"/>
          <w:color w:val="auto"/>
        </w:rPr>
      </w:pPr>
    </w:p>
    <w:p>
      <w:pPr>
        <w:jc w:val="both"/>
        <w:ind w:left="860"/>
        <w:spacing w:after="0" w:line="258" w:lineRule="auto"/>
        <w:rPr>
          <w:sz w:val="20"/>
          <w:szCs w:val="20"/>
          <w:color w:val="auto"/>
        </w:rPr>
      </w:pPr>
      <w:r>
        <w:rPr>
          <w:rFonts w:ascii="Arial" w:cs="Arial" w:eastAsia="Arial" w:hAnsi="Arial"/>
          <w:sz w:val="18"/>
          <w:szCs w:val="18"/>
          <w:color w:val="auto"/>
        </w:rPr>
        <w:t>Level 1 – Assets or liabilities for which an identical instrument is traded in an active market, such as publicly-traded instruments or futures contracts.</w:t>
      </w:r>
    </w:p>
    <w:p>
      <w:pPr>
        <w:spacing w:after="0" w:line="1" w:lineRule="exact"/>
        <w:rPr>
          <w:sz w:val="20"/>
          <w:szCs w:val="20"/>
          <w:color w:val="auto"/>
        </w:rPr>
      </w:pPr>
    </w:p>
    <w:p>
      <w:pPr>
        <w:jc w:val="both"/>
        <w:ind w:left="860"/>
        <w:spacing w:after="0" w:line="265" w:lineRule="auto"/>
        <w:rPr>
          <w:sz w:val="20"/>
          <w:szCs w:val="20"/>
          <w:color w:val="auto"/>
        </w:rPr>
      </w:pPr>
      <w:r>
        <w:rPr>
          <w:rFonts w:ascii="Arial" w:cs="Arial" w:eastAsia="Arial" w:hAnsi="Arial"/>
          <w:sz w:val="17"/>
          <w:szCs w:val="17"/>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jc w:val="both"/>
        <w:ind w:left="860"/>
        <w:spacing w:after="0" w:line="255" w:lineRule="auto"/>
        <w:rPr>
          <w:sz w:val="20"/>
          <w:szCs w:val="20"/>
          <w:color w:val="auto"/>
        </w:rPr>
      </w:pPr>
      <w:r>
        <w:rPr>
          <w:rFonts w:ascii="Arial" w:cs="Arial" w:eastAsia="Arial" w:hAnsi="Arial"/>
          <w:sz w:val="18"/>
          <w:szCs w:val="18"/>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90" w:lineRule="exact"/>
        <w:rPr>
          <w:sz w:val="20"/>
          <w:szCs w:val="20"/>
          <w:color w:val="auto"/>
        </w:rPr>
      </w:pPr>
    </w:p>
    <w:p>
      <w:pPr>
        <w:jc w:val="both"/>
        <w:ind w:left="500"/>
        <w:spacing w:after="0" w:line="272" w:lineRule="auto"/>
        <w:rPr>
          <w:sz w:val="20"/>
          <w:szCs w:val="20"/>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8" w:lineRule="exact"/>
        <w:rPr>
          <w:sz w:val="20"/>
          <w:szCs w:val="20"/>
          <w:color w:val="auto"/>
        </w:rPr>
      </w:pPr>
    </w:p>
    <w:p>
      <w:pPr>
        <w:jc w:val="both"/>
        <w:ind w:left="500"/>
        <w:spacing w:after="0" w:line="277" w:lineRule="auto"/>
        <w:rPr>
          <w:sz w:val="20"/>
          <w:szCs w:val="20"/>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sz w:val="20"/>
          <w:szCs w:val="20"/>
          <w:color w:val="auto"/>
        </w:rPr>
      </w:pPr>
    </w:p>
    <w:p>
      <w:pPr>
        <w:jc w:val="both"/>
        <w:ind w:left="500" w:right="20"/>
        <w:spacing w:after="0" w:line="277" w:lineRule="auto"/>
        <w:rPr>
          <w:sz w:val="20"/>
          <w:szCs w:val="20"/>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i w:val="1"/>
          <w:iCs w:val="1"/>
          <w:u w:val="single" w:color="auto"/>
          <w:color w:val="auto"/>
        </w:rPr>
        <w:t>Financial instruments at FVTPL and FVOCI</w:t>
      </w:r>
    </w:p>
    <w:p>
      <w:pPr>
        <w:spacing w:after="0" w:line="225" w:lineRule="exact"/>
        <w:rPr>
          <w:sz w:val="20"/>
          <w:szCs w:val="20"/>
          <w:color w:val="auto"/>
        </w:rPr>
      </w:pPr>
    </w:p>
    <w:p>
      <w:pPr>
        <w:jc w:val="both"/>
        <w:ind w:left="500"/>
        <w:spacing w:after="0" w:line="308" w:lineRule="auto"/>
        <w:rPr>
          <w:sz w:val="20"/>
          <w:szCs w:val="20"/>
          <w:color w:val="auto"/>
        </w:rPr>
      </w:pPr>
      <w:r>
        <w:rPr>
          <w:rFonts w:ascii="Arial" w:cs="Arial" w:eastAsia="Arial" w:hAnsi="Arial"/>
          <w:sz w:val="17"/>
          <w:szCs w:val="17"/>
          <w:color w:val="auto"/>
        </w:rPr>
        <w:t>Financial instruments at FVTPL are carried at fair value, which is based upon quoted prices when available, or if quoted market prices are not available, on discounted expected cash flows using market rates commensurate with the credit quality and maturity of the security.</w:t>
      </w:r>
    </w:p>
    <w:p>
      <w:pPr>
        <w:spacing w:after="0" w:line="147" w:lineRule="exact"/>
        <w:rPr>
          <w:sz w:val="20"/>
          <w:szCs w:val="20"/>
          <w:color w:val="auto"/>
        </w:rPr>
      </w:pPr>
    </w:p>
    <w:p>
      <w:pPr>
        <w:jc w:val="both"/>
        <w:ind w:left="500"/>
        <w:spacing w:after="0" w:line="308" w:lineRule="auto"/>
        <w:rPr>
          <w:sz w:val="20"/>
          <w:szCs w:val="20"/>
          <w:color w:val="auto"/>
        </w:rPr>
      </w:pPr>
      <w:r>
        <w:rPr>
          <w:rFonts w:ascii="Arial" w:cs="Arial" w:eastAsia="Arial" w:hAnsi="Arial"/>
          <w:sz w:val="17"/>
          <w:szCs w:val="17"/>
          <w:color w:val="auto"/>
        </w:rPr>
        <w:t>Financial instruments at FVOCI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47"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When quoted prices are available in an active market, financial instruments at FVOCI and financial instruments at FVTPL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200" w:lineRule="exact"/>
        <w:rPr>
          <w:sz w:val="20"/>
          <w:szCs w:val="20"/>
          <w:color w:val="auto"/>
        </w:rPr>
      </w:pPr>
    </w:p>
    <w:p>
      <w:pPr>
        <w:spacing w:after="0" w:line="203"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2" w:name="page53"/>
    <w:bookmarkEnd w:id="5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right="7340" w:hanging="492"/>
        <w:spacing w:after="0" w:line="503" w:lineRule="auto"/>
        <w:tabs>
          <w:tab w:leader="none" w:pos="50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Fair value of financial instruments (continued) </w:t>
      </w:r>
      <w:r>
        <w:rPr>
          <w:rFonts w:ascii="Arial" w:cs="Arial" w:eastAsia="Arial" w:hAnsi="Arial"/>
          <w:sz w:val="18"/>
          <w:szCs w:val="18"/>
          <w:i w:val="1"/>
          <w:iCs w:val="1"/>
          <w:u w:val="single" w:color="auto"/>
          <w:color w:val="auto"/>
        </w:rPr>
        <w:t>Derivative financial instruments</w:t>
      </w: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fair value adjustments applied by the Bank to its derivative carrying values include credit valuation adjustments (“CVA”), which are applied to OTC derivative instruments, in which the base valuation generally discounts expected cash flows using the Overnight Index Swap (“OIS”) interest rate curves. Because not all counterparties have the same credit risk as that implied by the relevant OIS curve, a CVA is necessary to incorporate the market view of both, counterparty credit risk and the Bank’s own credit risk, in the valuation.</w:t>
      </w:r>
    </w:p>
    <w:p>
      <w:pPr>
        <w:spacing w:after="0" w:line="186" w:lineRule="exact"/>
        <w:rPr>
          <w:rFonts w:ascii="Arial" w:cs="Arial" w:eastAsia="Arial" w:hAnsi="Arial"/>
          <w:sz w:val="18"/>
          <w:szCs w:val="18"/>
          <w:b w:val="1"/>
          <w:bCs w:val="1"/>
          <w:color w:val="auto"/>
        </w:rPr>
      </w:pPr>
    </w:p>
    <w:p>
      <w:pPr>
        <w:jc w:val="both"/>
        <w:ind w:left="50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00" w:lineRule="exact"/>
        <w:rPr>
          <w:sz w:val="20"/>
          <w:szCs w:val="20"/>
          <w:color w:val="auto"/>
        </w:rPr>
      </w:pPr>
    </w:p>
    <w:p>
      <w:pPr>
        <w:spacing w:after="0" w:line="203"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3" w:name="page54"/>
    <w:bookmarkEnd w:id="5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statement of financial positions using the fair value hierarchy are described below:</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5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460" w:type="dxa"/>
            <w:vAlign w:val="bottom"/>
            <w:tcBorders>
              <w:bottom w:val="single" w:sz="8" w:color="auto"/>
            </w:tcBorders>
            <w:gridSpan w:val="3"/>
          </w:tcPr>
          <w:p>
            <w:pPr>
              <w:ind w:left="520"/>
              <w:spacing w:after="0"/>
              <w:rPr>
                <w:sz w:val="20"/>
                <w:szCs w:val="20"/>
                <w:color w:val="auto"/>
              </w:rPr>
            </w:pPr>
            <w:r>
              <w:rPr>
                <w:rFonts w:ascii="Arial" w:cs="Arial" w:eastAsia="Arial" w:hAnsi="Arial"/>
                <w:sz w:val="18"/>
                <w:szCs w:val="18"/>
                <w:b w:val="1"/>
                <w:bCs w:val="1"/>
                <w:color w:val="auto"/>
              </w:rPr>
              <w:t>September 30, 2016</w:t>
            </w:r>
          </w:p>
        </w:tc>
        <w:tc>
          <w:tcPr>
            <w:tcW w:w="1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4500" w:type="dxa"/>
            <w:vAlign w:val="bottom"/>
          </w:tcPr>
          <w:p>
            <w:pPr>
              <w:spacing w:after="0"/>
              <w:rPr>
                <w:sz w:val="21"/>
                <w:szCs w:val="21"/>
                <w:color w:val="auto"/>
              </w:rPr>
            </w:pPr>
          </w:p>
        </w:tc>
        <w:tc>
          <w:tcPr>
            <w:tcW w:w="140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040" w:type="dxa"/>
            <w:vAlign w:val="bottom"/>
          </w:tcPr>
          <w:p>
            <w:pPr>
              <w:ind w:left="220"/>
              <w:spacing w:after="0" w:line="251" w:lineRule="exact"/>
              <w:rPr>
                <w:sz w:val="20"/>
                <w:szCs w:val="20"/>
                <w:color w:val="auto"/>
              </w:rPr>
            </w:pPr>
            <w:r>
              <w:rPr>
                <w:rFonts w:ascii="Arial" w:cs="Arial" w:eastAsia="Arial" w:hAnsi="Arial"/>
                <w:sz w:val="18"/>
                <w:szCs w:val="18"/>
                <w:b w:val="1"/>
                <w:bCs w:val="1"/>
                <w:color w:val="auto"/>
                <w:w w:val="94"/>
              </w:rPr>
              <w:t>Level 3</w:t>
            </w:r>
            <w:r>
              <w:rPr>
                <w:rFonts w:ascii="Arial" w:cs="Arial" w:eastAsia="Arial" w:hAnsi="Arial"/>
                <w:sz w:val="29"/>
                <w:szCs w:val="29"/>
                <w:b w:val="1"/>
                <w:bCs w:val="1"/>
                <w:color w:val="auto"/>
                <w:w w:val="94"/>
                <w:vertAlign w:val="superscript"/>
              </w:rPr>
              <w:t>(c)</w:t>
            </w:r>
          </w:p>
        </w:tc>
        <w:tc>
          <w:tcPr>
            <w:tcW w:w="1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46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4"/>
              </w:rPr>
              <w:t>Assets</w:t>
            </w:r>
          </w:p>
        </w:tc>
        <w:tc>
          <w:tcPr>
            <w:tcW w:w="4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Securities at fair value through OCI:</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ind w:left="700"/>
              <w:spacing w:after="0"/>
              <w:rPr>
                <w:sz w:val="20"/>
                <w:szCs w:val="20"/>
                <w:color w:val="auto"/>
              </w:rPr>
            </w:pPr>
            <w:r>
              <w:rPr>
                <w:rFonts w:ascii="Arial" w:cs="Arial" w:eastAsia="Arial" w:hAnsi="Arial"/>
                <w:sz w:val="18"/>
                <w:szCs w:val="18"/>
                <w:color w:val="auto"/>
              </w:rPr>
              <w:t>28,657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28,657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ind w:left="700"/>
              <w:spacing w:after="0"/>
              <w:rPr>
                <w:sz w:val="20"/>
                <w:szCs w:val="20"/>
                <w:color w:val="auto"/>
              </w:rPr>
            </w:pPr>
            <w:r>
              <w:rPr>
                <w:rFonts w:ascii="Arial" w:cs="Arial" w:eastAsia="Arial" w:hAnsi="Arial"/>
                <w:sz w:val="18"/>
                <w:szCs w:val="18"/>
                <w:color w:val="auto"/>
              </w:rPr>
              <w:t>27,046</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27,046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top w:val="single" w:sz="8" w:color="CCEEFF"/>
            </w:tcBorders>
            <w:gridSpan w:val="3"/>
            <w:shd w:val="clear" w:color="auto" w:fill="CCEEFF"/>
          </w:tcPr>
          <w:p>
            <w:pPr>
              <w:ind w:left="140"/>
              <w:spacing w:after="0"/>
              <w:rPr>
                <w:sz w:val="20"/>
                <w:szCs w:val="20"/>
                <w:color w:val="auto"/>
              </w:rPr>
            </w:pPr>
            <w:r>
              <w:rPr>
                <w:rFonts w:ascii="Arial" w:cs="Arial" w:eastAsia="Arial" w:hAnsi="Arial"/>
                <w:sz w:val="18"/>
                <w:szCs w:val="18"/>
                <w:color w:val="auto"/>
              </w:rPr>
              <w:t>Total securities at fair value through OCI</w:t>
            </w:r>
          </w:p>
        </w:tc>
        <w:tc>
          <w:tcPr>
            <w:tcW w:w="1180" w:type="dxa"/>
            <w:vAlign w:val="bottom"/>
            <w:tcBorders>
              <w:top w:val="single" w:sz="8" w:color="auto"/>
              <w:bottom w:val="single" w:sz="8" w:color="auto"/>
            </w:tcBorders>
            <w:shd w:val="clear" w:color="auto" w:fill="CCEEFF"/>
          </w:tcPr>
          <w:p>
            <w:pPr>
              <w:ind w:left="700"/>
              <w:spacing w:after="0"/>
              <w:rPr>
                <w:sz w:val="20"/>
                <w:szCs w:val="20"/>
                <w:color w:val="auto"/>
              </w:rPr>
            </w:pPr>
            <w:r>
              <w:rPr>
                <w:rFonts w:ascii="Arial" w:cs="Arial" w:eastAsia="Arial" w:hAnsi="Arial"/>
                <w:sz w:val="18"/>
                <w:szCs w:val="18"/>
                <w:color w:val="auto"/>
                <w:w w:val="83"/>
              </w:rPr>
              <w:t>55,703</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55,703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2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w:t>
            </w: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bottom w:val="single" w:sz="8" w:color="CCEEFF"/>
            </w:tcBorders>
            <w:gridSpan w:val="3"/>
          </w:tcPr>
          <w:p>
            <w:pPr>
              <w:ind w:left="140"/>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9,711</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9,711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11,874</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11,874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5,784</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5,784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top w:val="single" w:sz="8" w:color="CCEEFF"/>
            </w:tcBorders>
            <w:gridSpan w:val="3"/>
            <w:shd w:val="clear" w:color="auto" w:fill="CCEEFF"/>
          </w:tcPr>
          <w:p>
            <w:pPr>
              <w:ind w:left="140"/>
              <w:spacing w:after="0"/>
              <w:rPr>
                <w:sz w:val="20"/>
                <w:szCs w:val="20"/>
                <w:color w:val="auto"/>
              </w:rPr>
            </w:pPr>
            <w:r>
              <w:rPr>
                <w:rFonts w:ascii="Arial" w:cs="Arial" w:eastAsia="Arial" w:hAnsi="Arial"/>
                <w:sz w:val="18"/>
                <w:szCs w:val="18"/>
                <w:color w:val="auto"/>
                <w:w w:val="97"/>
              </w:rPr>
              <w:t>Total derivative financial instrument used for hedging – receivable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27,369</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27,369</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2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80" w:type="dxa"/>
            <w:vAlign w:val="bottom"/>
            <w:tcBorders>
              <w:bottom w:val="single" w:sz="8" w:color="auto"/>
            </w:tcBorders>
          </w:tcPr>
          <w:p>
            <w:pPr>
              <w:ind w:left="700"/>
              <w:spacing w:after="0"/>
              <w:rPr>
                <w:sz w:val="20"/>
                <w:szCs w:val="20"/>
                <w:color w:val="auto"/>
              </w:rPr>
            </w:pPr>
            <w:r>
              <w:rPr>
                <w:rFonts w:ascii="Arial" w:cs="Arial" w:eastAsia="Arial" w:hAnsi="Arial"/>
                <w:sz w:val="18"/>
                <w:szCs w:val="18"/>
                <w:b w:val="1"/>
                <w:bCs w:val="1"/>
                <w:color w:val="auto"/>
                <w:w w:val="83"/>
              </w:rPr>
              <w:t>55,703</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27,397</w:t>
            </w:r>
          </w:p>
        </w:tc>
        <w:tc>
          <w:tcPr>
            <w:tcW w:w="220" w:type="dxa"/>
            <w:vAlign w:val="bottom"/>
            <w:tcBorders>
              <w:bottom w:val="single" w:sz="8" w:color="CCEEFF"/>
            </w:tcBorders>
          </w:tcPr>
          <w:p>
            <w:pPr>
              <w:spacing w:after="0"/>
              <w:rPr>
                <w:sz w:val="22"/>
                <w:szCs w:val="22"/>
                <w:color w:val="auto"/>
              </w:rPr>
            </w:pPr>
          </w:p>
        </w:tc>
        <w:tc>
          <w:tcPr>
            <w:tcW w:w="1040" w:type="dxa"/>
            <w:vAlign w:val="bottom"/>
            <w:tcBorders>
              <w:bottom w:val="single" w:sz="8" w:color="auto"/>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22"/>
                <w:szCs w:val="22"/>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83,100</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2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46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vMerge w:val="continue"/>
          </w:tcPr>
          <w:p>
            <w:pPr>
              <w:spacing w:after="0"/>
              <w:rPr>
                <w:sz w:val="18"/>
                <w:szCs w:val="18"/>
                <w:color w:val="auto"/>
              </w:rPr>
            </w:pPr>
          </w:p>
        </w:tc>
        <w:tc>
          <w:tcPr>
            <w:tcW w:w="52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top w:val="single" w:sz="8" w:color="CCEEFF"/>
            </w:tcBorders>
            <w:gridSpan w:val="3"/>
            <w:shd w:val="clear" w:color="auto" w:fill="CCEEFF"/>
          </w:tcPr>
          <w:p>
            <w:pPr>
              <w:ind w:left="140"/>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gridSpan w:val="3"/>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5,987</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240" w:type="dxa"/>
            <w:vAlign w:val="bottom"/>
            <w:gridSpan w:val="3"/>
          </w:tcPr>
          <w:p>
            <w:pPr>
              <w:ind w:left="14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28,058</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gridSpan w:val="2"/>
          </w:tcPr>
          <w:p>
            <w:pPr>
              <w:jc w:val="right"/>
              <w:ind w:right="100"/>
              <w:spacing w:after="0"/>
              <w:rPr>
                <w:sz w:val="20"/>
                <w:szCs w:val="20"/>
                <w:color w:val="auto"/>
              </w:rPr>
            </w:pPr>
            <w:r>
              <w:rPr>
                <w:rFonts w:ascii="Arial" w:cs="Arial" w:eastAsia="Arial" w:hAnsi="Arial"/>
                <w:sz w:val="18"/>
                <w:szCs w:val="18"/>
                <w:color w:val="auto"/>
              </w:rPr>
              <w:t>28,058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2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607</w:t>
            </w: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607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240" w:type="dxa"/>
            <w:vAlign w:val="bottom"/>
            <w:tcBorders>
              <w:bottom w:val="single" w:sz="8" w:color="CCEEFF"/>
            </w:tcBorders>
            <w:gridSpan w:val="3"/>
          </w:tcPr>
          <w:p>
            <w:pPr>
              <w:ind w:left="140"/>
              <w:spacing w:after="0"/>
              <w:rPr>
                <w:sz w:val="20"/>
                <w:szCs w:val="20"/>
                <w:color w:val="auto"/>
              </w:rPr>
            </w:pPr>
            <w:r>
              <w:rPr>
                <w:rFonts w:ascii="Arial" w:cs="Arial" w:eastAsia="Arial" w:hAnsi="Arial"/>
                <w:sz w:val="18"/>
                <w:szCs w:val="18"/>
                <w:color w:val="auto"/>
                <w:w w:val="98"/>
              </w:rPr>
              <w:t>Total derivative financial instruments used for hedging – payable</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34,652</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34,652</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2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80" w:type="dxa"/>
            <w:vAlign w:val="bottom"/>
            <w:tcBorders>
              <w:bottom w:val="single" w:sz="8" w:color="auto"/>
            </w:tcBorders>
            <w:shd w:val="clear" w:color="auto" w:fill="CCEEFF"/>
          </w:tcPr>
          <w:p>
            <w:pPr>
              <w:ind w:left="11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34,652</w:t>
            </w:r>
          </w:p>
        </w:tc>
        <w:tc>
          <w:tcPr>
            <w:tcW w:w="220" w:type="dxa"/>
            <w:vAlign w:val="bottom"/>
            <w:tcBorders>
              <w:bottom w:val="single" w:sz="8" w:color="CCEEFF"/>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34,652</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29" w:lineRule="exact"/>
        <w:rPr>
          <w:sz w:val="20"/>
          <w:szCs w:val="20"/>
          <w:color w:val="auto"/>
        </w:rPr>
      </w:pPr>
    </w:p>
    <w:p>
      <w:pPr>
        <w:ind w:left="640"/>
        <w:spacing w:after="0"/>
        <w:rPr>
          <w:sz w:val="20"/>
          <w:szCs w:val="20"/>
          <w:color w:val="auto"/>
        </w:rPr>
      </w:pPr>
      <w:r>
        <w:rPr>
          <w:rFonts w:ascii="Arial" w:cs="Arial" w:eastAsia="Arial" w:hAnsi="Arial"/>
          <w:sz w:val="30"/>
          <w:szCs w:val="30"/>
          <w:color w:val="auto"/>
          <w:vertAlign w:val="superscript"/>
        </w:rPr>
        <w:t>(a )</w:t>
      </w:r>
      <w:r>
        <w:rPr>
          <w:rFonts w:ascii="Arial" w:cs="Arial" w:eastAsia="Arial" w:hAnsi="Arial"/>
          <w:sz w:val="18"/>
          <w:szCs w:val="18"/>
          <w:color w:val="auto"/>
        </w:rPr>
        <w:t xml:space="preserve"> Level 1: Quoted market prices in an active market.</w:t>
      </w:r>
    </w:p>
    <w:p>
      <w:pPr>
        <w:ind w:left="860" w:hanging="215"/>
        <w:spacing w:after="0" w:line="204" w:lineRule="auto"/>
        <w:tabs>
          <w:tab w:leader="none" w:pos="860" w:val="left"/>
        </w:tabs>
        <w:numPr>
          <w:ilvl w:val="0"/>
          <w:numId w:val="58"/>
        </w:numPr>
        <w:rPr>
          <w:rFonts w:ascii="Arial" w:cs="Arial" w:eastAsia="Arial" w:hAnsi="Arial"/>
          <w:sz w:val="26"/>
          <w:szCs w:val="26"/>
          <w:color w:val="auto"/>
          <w:vertAlign w:val="superscript"/>
        </w:rPr>
      </w:pPr>
      <w:r>
        <w:rPr>
          <w:rFonts w:ascii="Arial" w:cs="Arial" w:eastAsia="Arial" w:hAnsi="Arial"/>
          <w:sz w:val="16"/>
          <w:szCs w:val="16"/>
          <w:color w:val="auto"/>
        </w:rPr>
        <w:t>Level 2: Internally developed models with significant observable market or quoted market prices in an inactive market.</w:t>
      </w:r>
    </w:p>
    <w:p>
      <w:pPr>
        <w:spacing w:after="0" w:line="43" w:lineRule="exact"/>
        <w:rPr>
          <w:rFonts w:ascii="Arial" w:cs="Arial" w:eastAsia="Arial" w:hAnsi="Arial"/>
          <w:sz w:val="26"/>
          <w:szCs w:val="26"/>
          <w:color w:val="auto"/>
          <w:vertAlign w:val="superscript"/>
        </w:rPr>
      </w:pPr>
    </w:p>
    <w:p>
      <w:pPr>
        <w:ind w:left="840" w:hanging="195"/>
        <w:spacing w:after="0" w:line="186" w:lineRule="auto"/>
        <w:tabs>
          <w:tab w:leader="none" w:pos="840" w:val="left"/>
        </w:tabs>
        <w:numPr>
          <w:ilvl w:val="0"/>
          <w:numId w:val="58"/>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0" w:lineRule="exact"/>
        <w:rPr>
          <w:sz w:val="20"/>
          <w:szCs w:val="20"/>
          <w:color w:val="auto"/>
        </w:rPr>
      </w:pPr>
    </w:p>
    <w:p>
      <w:pPr>
        <w:spacing w:after="0" w:line="218"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4" w:name="page55"/>
    <w:bookmarkEnd w:id="54"/>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60" w:type="dxa"/>
            <w:vAlign w:val="bottom"/>
          </w:tcPr>
          <w:p>
            <w:pPr>
              <w:jc w:val="right"/>
              <w:ind w:right="30"/>
              <w:spacing w:after="0"/>
              <w:rPr>
                <w:sz w:val="20"/>
                <w:szCs w:val="20"/>
                <w:color w:val="auto"/>
              </w:rPr>
            </w:pPr>
            <w:r>
              <w:rPr>
                <w:rFonts w:ascii="Arial" w:cs="Arial" w:eastAsia="Arial" w:hAnsi="Arial"/>
                <w:sz w:val="18"/>
                <w:szCs w:val="18"/>
                <w:b w:val="1"/>
                <w:bCs w:val="1"/>
                <w:color w:val="auto"/>
                <w:w w:val="87"/>
              </w:rPr>
              <w:t>13.</w:t>
            </w:r>
          </w:p>
        </w:tc>
        <w:tc>
          <w:tcPr>
            <w:tcW w:w="5400" w:type="dxa"/>
            <w:vAlign w:val="bottom"/>
            <w:gridSpan w:val="4"/>
          </w:tcPr>
          <w:p>
            <w:pPr>
              <w:ind w:left="140"/>
              <w:spacing w:after="0"/>
              <w:rPr>
                <w:sz w:val="20"/>
                <w:szCs w:val="20"/>
                <w:color w:val="auto"/>
              </w:rPr>
            </w:pPr>
            <w:r>
              <w:rPr>
                <w:rFonts w:ascii="Arial" w:cs="Arial" w:eastAsia="Arial" w:hAnsi="Arial"/>
                <w:sz w:val="18"/>
                <w:szCs w:val="18"/>
                <w:b w:val="1"/>
                <w:bCs w:val="1"/>
                <w:color w:val="auto"/>
              </w:rPr>
              <w:t>Fair value of financial instruments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5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60" w:type="dxa"/>
            <w:vAlign w:val="bottom"/>
            <w:tcBorders>
              <w:bottom w:val="single" w:sz="8" w:color="auto"/>
            </w:tcBorders>
            <w:gridSpan w:val="3"/>
          </w:tcPr>
          <w:p>
            <w:pPr>
              <w:ind w:left="560"/>
              <w:spacing w:after="0"/>
              <w:rPr>
                <w:sz w:val="20"/>
                <w:szCs w:val="20"/>
                <w:color w:val="auto"/>
              </w:rPr>
            </w:pPr>
            <w:r>
              <w:rPr>
                <w:rFonts w:ascii="Arial" w:cs="Arial" w:eastAsia="Arial" w:hAnsi="Arial"/>
                <w:sz w:val="18"/>
                <w:szCs w:val="18"/>
                <w:b w:val="1"/>
                <w:bCs w:val="1"/>
                <w:color w:val="auto"/>
              </w:rPr>
              <w:t>December 31, 2015</w:t>
            </w:r>
          </w:p>
        </w:tc>
        <w:tc>
          <w:tcPr>
            <w:tcW w:w="1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50"/>
        </w:trPr>
        <w:tc>
          <w:tcPr>
            <w:tcW w:w="36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4500" w:type="dxa"/>
            <w:vAlign w:val="bottom"/>
          </w:tcPr>
          <w:p>
            <w:pPr>
              <w:spacing w:after="0"/>
              <w:rPr>
                <w:sz w:val="21"/>
                <w:szCs w:val="21"/>
                <w:color w:val="auto"/>
              </w:rPr>
            </w:pPr>
          </w:p>
        </w:tc>
        <w:tc>
          <w:tcPr>
            <w:tcW w:w="140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1</w:t>
            </w:r>
            <w:r>
              <w:rPr>
                <w:rFonts w:ascii="Arial" w:cs="Arial" w:eastAsia="Arial" w:hAnsi="Arial"/>
                <w:sz w:val="29"/>
                <w:szCs w:val="29"/>
                <w:b w:val="1"/>
                <w:bCs w:val="1"/>
                <w:color w:val="auto"/>
                <w:vertAlign w:val="superscript"/>
              </w:rPr>
              <w:t>(a)</w:t>
            </w:r>
          </w:p>
        </w:tc>
        <w:tc>
          <w:tcPr>
            <w:tcW w:w="1420" w:type="dxa"/>
            <w:vAlign w:val="bottom"/>
            <w:gridSpan w:val="2"/>
          </w:tcPr>
          <w:p>
            <w:pPr>
              <w:ind w:left="240"/>
              <w:spacing w:after="0" w:line="251" w:lineRule="exact"/>
              <w:rPr>
                <w:sz w:val="20"/>
                <w:szCs w:val="20"/>
                <w:color w:val="auto"/>
              </w:rPr>
            </w:pPr>
            <w:r>
              <w:rPr>
                <w:rFonts w:ascii="Arial" w:cs="Arial" w:eastAsia="Arial" w:hAnsi="Arial"/>
                <w:sz w:val="18"/>
                <w:szCs w:val="18"/>
                <w:b w:val="1"/>
                <w:bCs w:val="1"/>
                <w:color w:val="auto"/>
              </w:rPr>
              <w:t>Level 2</w:t>
            </w:r>
            <w:r>
              <w:rPr>
                <w:rFonts w:ascii="Arial" w:cs="Arial" w:eastAsia="Arial" w:hAnsi="Arial"/>
                <w:sz w:val="29"/>
                <w:szCs w:val="29"/>
                <w:b w:val="1"/>
                <w:bCs w:val="1"/>
                <w:color w:val="auto"/>
                <w:vertAlign w:val="superscript"/>
              </w:rPr>
              <w:t>(b)</w:t>
            </w:r>
          </w:p>
        </w:tc>
        <w:tc>
          <w:tcPr>
            <w:tcW w:w="1040" w:type="dxa"/>
            <w:vAlign w:val="bottom"/>
          </w:tcPr>
          <w:p>
            <w:pPr>
              <w:ind w:left="220"/>
              <w:spacing w:after="0" w:line="251" w:lineRule="exact"/>
              <w:rPr>
                <w:sz w:val="20"/>
                <w:szCs w:val="20"/>
                <w:color w:val="auto"/>
              </w:rPr>
            </w:pPr>
            <w:r>
              <w:rPr>
                <w:rFonts w:ascii="Arial" w:cs="Arial" w:eastAsia="Arial" w:hAnsi="Arial"/>
                <w:sz w:val="18"/>
                <w:szCs w:val="18"/>
                <w:b w:val="1"/>
                <w:bCs w:val="1"/>
                <w:color w:val="auto"/>
                <w:w w:val="94"/>
              </w:rPr>
              <w:t>Level 3</w:t>
            </w:r>
            <w:r>
              <w:rPr>
                <w:rFonts w:ascii="Arial" w:cs="Arial" w:eastAsia="Arial" w:hAnsi="Arial"/>
                <w:sz w:val="29"/>
                <w:szCs w:val="29"/>
                <w:b w:val="1"/>
                <w:bCs w:val="1"/>
                <w:color w:val="auto"/>
                <w:w w:val="94"/>
                <w:vertAlign w:val="superscript"/>
              </w:rPr>
              <w:t>(c)</w:t>
            </w:r>
          </w:p>
        </w:tc>
        <w:tc>
          <w:tcPr>
            <w:tcW w:w="14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60" w:type="dxa"/>
            <w:vAlign w:val="bottom"/>
            <w:gridSpan w:val="3"/>
          </w:tcPr>
          <w:p>
            <w:pPr>
              <w:ind w:lef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90"/>
        </w:trPr>
        <w:tc>
          <w:tcPr>
            <w:tcW w:w="3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7"/>
              </w:rPr>
              <w:t>Assets</w:t>
            </w:r>
          </w:p>
        </w:tc>
        <w:tc>
          <w:tcPr>
            <w:tcW w:w="47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1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8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Securities at fair value through OCI:</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Corporate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76,091</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8,724</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84,815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Sovereign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56,988</w:t>
            </w: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56,988</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rPr>
              <w:t>Total securities at fair value through OCI</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133,079</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8,724</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141,803</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Investment funds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53,411</w:t>
            </w: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53,411</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tcBorders>
              <w:bottom w:val="single" w:sz="8" w:color="CCEEFF"/>
            </w:tcBorders>
            <w:gridSpan w:val="3"/>
          </w:tcPr>
          <w:p>
            <w:pPr>
              <w:ind w:left="160"/>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53,411</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53,411</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2,779</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2,779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696</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3,925</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3,925</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w w:val="97"/>
              </w:rPr>
              <w:t>Total derivative financial instrument used for hedging – receivable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36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52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b w:val="1"/>
                <w:bCs w:val="1"/>
                <w:color w:val="auto"/>
              </w:rPr>
              <w:t>Total financial assets at fair value</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133,079</w:t>
            </w:r>
          </w:p>
        </w:tc>
        <w:tc>
          <w:tcPr>
            <w:tcW w:w="220" w:type="dxa"/>
            <w:vAlign w:val="bottom"/>
            <w:tcBorders>
              <w:bottom w:val="single" w:sz="8" w:color="CCEEFF"/>
            </w:tcBorders>
          </w:tcPr>
          <w:p>
            <w:pPr>
              <w:spacing w:after="0"/>
              <w:rPr>
                <w:sz w:val="22"/>
                <w:szCs w:val="22"/>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69,535</w:t>
            </w:r>
          </w:p>
        </w:tc>
        <w:tc>
          <w:tcPr>
            <w:tcW w:w="220" w:type="dxa"/>
            <w:vAlign w:val="bottom"/>
            <w:tcBorders>
              <w:bottom w:val="single" w:sz="8" w:color="CCEEFF"/>
            </w:tcBorders>
          </w:tcPr>
          <w:p>
            <w:pPr>
              <w:spacing w:after="0"/>
              <w:rPr>
                <w:sz w:val="22"/>
                <w:szCs w:val="22"/>
                <w:color w:val="auto"/>
              </w:rPr>
            </w:pPr>
          </w:p>
        </w:tc>
        <w:tc>
          <w:tcPr>
            <w:tcW w:w="1040" w:type="dxa"/>
            <w:vAlign w:val="bottom"/>
            <w:tcBorders>
              <w:bottom w:val="single" w:sz="8" w:color="auto"/>
            </w:tcBorders>
          </w:tcPr>
          <w:p>
            <w:pPr>
              <w:spacing w:after="0"/>
              <w:rPr>
                <w:sz w:val="22"/>
                <w:szCs w:val="22"/>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22"/>
                <w:szCs w:val="22"/>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202,614</w:t>
            </w:r>
          </w:p>
        </w:tc>
        <w:tc>
          <w:tcPr>
            <w:tcW w:w="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60" w:type="dxa"/>
            <w:vAlign w:val="bottom"/>
          </w:tcPr>
          <w:p>
            <w:pPr>
              <w:spacing w:after="0"/>
              <w:rPr>
                <w:sz w:val="17"/>
                <w:szCs w:val="17"/>
                <w:color w:val="auto"/>
              </w:rPr>
            </w:pPr>
          </w:p>
        </w:tc>
        <w:tc>
          <w:tcPr>
            <w:tcW w:w="140" w:type="dxa"/>
            <w:vAlign w:val="bottom"/>
            <w:vMerge w:val="restart"/>
          </w:tcPr>
          <w:p>
            <w:pPr>
              <w:spacing w:after="0"/>
              <w:rPr>
                <w:sz w:val="17"/>
                <w:szCs w:val="17"/>
                <w:color w:val="auto"/>
              </w:rPr>
            </w:pPr>
          </w:p>
        </w:tc>
        <w:tc>
          <w:tcPr>
            <w:tcW w:w="48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45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360" w:type="dxa"/>
            <w:vAlign w:val="bottom"/>
          </w:tcPr>
          <w:p>
            <w:pPr>
              <w:spacing w:after="0"/>
              <w:rPr>
                <w:sz w:val="15"/>
                <w:szCs w:val="15"/>
                <w:color w:val="auto"/>
              </w:rPr>
            </w:pPr>
          </w:p>
        </w:tc>
        <w:tc>
          <w:tcPr>
            <w:tcW w:w="140" w:type="dxa"/>
            <w:vAlign w:val="bottom"/>
            <w:vMerge w:val="continue"/>
          </w:tcPr>
          <w:p>
            <w:pPr>
              <w:spacing w:after="0"/>
              <w:rPr>
                <w:sz w:val="15"/>
                <w:szCs w:val="15"/>
                <w:color w:val="auto"/>
              </w:rPr>
            </w:pPr>
          </w:p>
        </w:tc>
        <w:tc>
          <w:tcPr>
            <w:tcW w:w="526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60" w:type="dxa"/>
            <w:vAlign w:val="bottom"/>
          </w:tcPr>
          <w:p>
            <w:pPr>
              <w:spacing w:after="0" w:line="20" w:lineRule="exact"/>
              <w:rPr>
                <w:sz w:val="1"/>
                <w:szCs w:val="1"/>
                <w:color w:val="auto"/>
              </w:rPr>
            </w:pPr>
          </w:p>
        </w:tc>
        <w:tc>
          <w:tcPr>
            <w:tcW w:w="140" w:type="dxa"/>
            <w:vAlign w:val="bottom"/>
            <w:vMerge w:val="restart"/>
          </w:tcPr>
          <w:p>
            <w:pPr>
              <w:spacing w:after="0" w:line="20" w:lineRule="exact"/>
              <w:rPr>
                <w:sz w:val="1"/>
                <w:szCs w:val="1"/>
                <w:color w:val="auto"/>
              </w:rPr>
            </w:pPr>
          </w:p>
        </w:tc>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vMerge w:val="continue"/>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instruments at FVTPL:</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200" w:type="dxa"/>
            <w:vAlign w:val="bottom"/>
          </w:tcPr>
          <w:p>
            <w:pPr>
              <w:jc w:val="right"/>
              <w:spacing w:after="0"/>
              <w:rPr>
                <w:sz w:val="20"/>
                <w:szCs w:val="20"/>
                <w:color w:val="auto"/>
              </w:rPr>
            </w:pPr>
            <w:r>
              <w:rPr>
                <w:rFonts w:ascii="Arial" w:cs="Arial" w:eastAsia="Arial" w:hAnsi="Arial"/>
                <w:sz w:val="18"/>
                <w:szCs w:val="18"/>
                <w:color w:val="auto"/>
              </w:rPr>
              <w:t>15</w:t>
            </w:r>
          </w:p>
        </w:tc>
        <w:tc>
          <w:tcPr>
            <w:tcW w:w="22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15</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20" w:type="dxa"/>
            <w:vAlign w:val="bottom"/>
            <w:shd w:val="clear" w:color="auto" w:fill="CCEEFF"/>
          </w:tcPr>
          <w:p>
            <w:pPr>
              <w:spacing w:after="0"/>
              <w:rPr>
                <w:sz w:val="19"/>
                <w:szCs w:val="19"/>
                <w:color w:val="auto"/>
              </w:rPr>
            </w:pPr>
          </w:p>
        </w:tc>
        <w:tc>
          <w:tcPr>
            <w:tcW w:w="104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2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tcBorders>
              <w:bottom w:val="single" w:sz="8" w:color="CCEEFF"/>
            </w:tcBorders>
            <w:gridSpan w:val="3"/>
          </w:tcPr>
          <w:p>
            <w:pPr>
              <w:ind w:left="160"/>
              <w:spacing w:after="0"/>
              <w:rPr>
                <w:sz w:val="20"/>
                <w:szCs w:val="20"/>
                <w:color w:val="auto"/>
              </w:rPr>
            </w:pPr>
            <w:r>
              <w:rPr>
                <w:rFonts w:ascii="Arial" w:cs="Arial" w:eastAsia="Arial" w:hAnsi="Arial"/>
                <w:sz w:val="18"/>
                <w:szCs w:val="18"/>
                <w:color w:val="auto"/>
              </w:rPr>
              <w:t>Total financial instruments at FVTPL</w:t>
            </w:r>
          </w:p>
        </w:tc>
        <w:tc>
          <w:tcPr>
            <w:tcW w:w="1180" w:type="dxa"/>
            <w:vAlign w:val="bottom"/>
            <w:tcBorders>
              <w:top w:val="single" w:sz="8" w:color="auto"/>
              <w:bottom w:val="single" w:sz="8" w:color="auto"/>
            </w:tcBorders>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bottom w:val="single" w:sz="8" w:color="CCEEFF"/>
            </w:tcBorders>
          </w:tcPr>
          <w:p>
            <w:pPr>
              <w:spacing w:after="0"/>
              <w:rPr>
                <w:sz w:val="18"/>
                <w:szCs w:val="18"/>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2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Interest rate swaps</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3,698</w:t>
            </w:r>
          </w:p>
        </w:tc>
        <w:tc>
          <w:tcPr>
            <w:tcW w:w="1040" w:type="dxa"/>
            <w:vAlign w:val="bottom"/>
          </w:tcPr>
          <w:p>
            <w:pPr>
              <w:spacing w:after="0"/>
              <w:rPr>
                <w:sz w:val="18"/>
                <w:szCs w:val="18"/>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3,698</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Cross-currency interest rate swaps</w:t>
            </w:r>
          </w:p>
        </w:tc>
        <w:tc>
          <w:tcPr>
            <w:tcW w:w="1400" w:type="dxa"/>
            <w:vAlign w:val="bottom"/>
            <w:gridSpan w:val="2"/>
            <w:shd w:val="clear" w:color="auto" w:fill="CCEEFF"/>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24,105</w:t>
            </w:r>
          </w:p>
        </w:tc>
        <w:tc>
          <w:tcPr>
            <w:tcW w:w="104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24,105</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tcPr>
          <w:p>
            <w:pPr>
              <w:ind w:left="160"/>
              <w:spacing w:after="0"/>
              <w:rPr>
                <w:sz w:val="20"/>
                <w:szCs w:val="20"/>
                <w:color w:val="auto"/>
              </w:rPr>
            </w:pPr>
            <w:r>
              <w:rPr>
                <w:rFonts w:ascii="Arial" w:cs="Arial" w:eastAsia="Arial" w:hAnsi="Arial"/>
                <w:sz w:val="18"/>
                <w:szCs w:val="18"/>
                <w:color w:val="auto"/>
              </w:rPr>
              <w:t>Foreign exchange forward</w:t>
            </w:r>
          </w:p>
        </w:tc>
        <w:tc>
          <w:tcPr>
            <w:tcW w:w="1400" w:type="dxa"/>
            <w:vAlign w:val="bottom"/>
            <w:gridSpan w:val="2"/>
          </w:tcPr>
          <w:p>
            <w:pPr>
              <w:ind w:left="112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2,086</w:t>
            </w:r>
          </w:p>
        </w:tc>
        <w:tc>
          <w:tcPr>
            <w:tcW w:w="1040" w:type="dxa"/>
            <w:vAlign w:val="bottom"/>
          </w:tcPr>
          <w:p>
            <w:pPr>
              <w:spacing w:after="0"/>
              <w:rPr>
                <w:sz w:val="19"/>
                <w:szCs w:val="19"/>
                <w:color w:val="auto"/>
              </w:rPr>
            </w:pP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2,086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260" w:type="dxa"/>
            <w:vAlign w:val="bottom"/>
            <w:tcBorders>
              <w:top w:val="single" w:sz="8" w:color="CCEEFF"/>
            </w:tcBorders>
            <w:gridSpan w:val="3"/>
            <w:shd w:val="clear" w:color="auto" w:fill="CCEEFF"/>
          </w:tcPr>
          <w:p>
            <w:pPr>
              <w:ind w:left="160"/>
              <w:spacing w:after="0"/>
              <w:rPr>
                <w:sz w:val="20"/>
                <w:szCs w:val="20"/>
                <w:color w:val="auto"/>
              </w:rPr>
            </w:pPr>
            <w:r>
              <w:rPr>
                <w:rFonts w:ascii="Arial" w:cs="Arial" w:eastAsia="Arial" w:hAnsi="Arial"/>
                <w:sz w:val="18"/>
                <w:szCs w:val="18"/>
                <w:color w:val="auto"/>
                <w:w w:val="98"/>
              </w:rPr>
              <w:t>Total derivative financial instruments used for hedging – payable</w:t>
            </w:r>
          </w:p>
        </w:tc>
        <w:tc>
          <w:tcPr>
            <w:tcW w:w="1180" w:type="dxa"/>
            <w:vAlign w:val="bottom"/>
            <w:tcBorders>
              <w:top w:val="single" w:sz="8" w:color="auto"/>
              <w:bottom w:val="single" w:sz="8" w:color="auto"/>
            </w:tcBorders>
            <w:shd w:val="clear" w:color="auto" w:fill="CCEEFF"/>
          </w:tcPr>
          <w:p>
            <w:pPr>
              <w:ind w:left="1120"/>
              <w:spacing w:after="0"/>
              <w:rPr>
                <w:sz w:val="20"/>
                <w:szCs w:val="20"/>
                <w:color w:val="auto"/>
              </w:rPr>
            </w:pPr>
            <w:r>
              <w:rPr>
                <w:rFonts w:ascii="Arial" w:cs="Arial" w:eastAsia="Arial" w:hAnsi="Arial"/>
                <w:sz w:val="16"/>
                <w:szCs w:val="16"/>
                <w:color w:val="auto"/>
                <w:w w:val="74"/>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29,889</w:t>
            </w:r>
          </w:p>
        </w:tc>
        <w:tc>
          <w:tcPr>
            <w:tcW w:w="22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spacing w:after="0"/>
              <w:rPr>
                <w:sz w:val="18"/>
                <w:szCs w:val="18"/>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29,889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60" w:type="dxa"/>
            <w:vAlign w:val="bottom"/>
            <w:gridSpan w:val="3"/>
          </w:tcPr>
          <w:p>
            <w:pPr>
              <w:spacing w:after="0"/>
              <w:rPr>
                <w:sz w:val="20"/>
                <w:szCs w:val="20"/>
                <w:color w:val="auto"/>
              </w:rPr>
            </w:pPr>
            <w:r>
              <w:rPr>
                <w:rFonts w:ascii="Arial" w:cs="Arial" w:eastAsia="Arial" w:hAnsi="Arial"/>
                <w:sz w:val="18"/>
                <w:szCs w:val="18"/>
                <w:b w:val="1"/>
                <w:bCs w:val="1"/>
                <w:color w:val="auto"/>
              </w:rPr>
              <w:t>Total financial liabilities at fair value</w:t>
            </w:r>
          </w:p>
        </w:tc>
        <w:tc>
          <w:tcPr>
            <w:tcW w:w="1180" w:type="dxa"/>
            <w:vAlign w:val="bottom"/>
            <w:tcBorders>
              <w:bottom w:val="single" w:sz="8" w:color="auto"/>
            </w:tcBorders>
          </w:tcPr>
          <w:p>
            <w:pPr>
              <w:ind w:left="11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29,978</w:t>
            </w:r>
          </w:p>
        </w:tc>
        <w:tc>
          <w:tcPr>
            <w:tcW w:w="220" w:type="dxa"/>
            <w:vAlign w:val="bottom"/>
          </w:tcPr>
          <w:p>
            <w:pPr>
              <w:spacing w:after="0"/>
              <w:rPr>
                <w:sz w:val="19"/>
                <w:szCs w:val="19"/>
                <w:color w:val="auto"/>
              </w:rPr>
            </w:pPr>
          </w:p>
        </w:tc>
        <w:tc>
          <w:tcPr>
            <w:tcW w:w="104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29,978</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16" w:lineRule="exact"/>
        <w:rPr>
          <w:sz w:val="20"/>
          <w:szCs w:val="20"/>
          <w:color w:val="auto"/>
        </w:rPr>
      </w:pPr>
    </w:p>
    <w:p>
      <w:pPr>
        <w:ind w:left="660"/>
        <w:spacing w:after="0"/>
        <w:rPr>
          <w:sz w:val="20"/>
          <w:szCs w:val="20"/>
          <w:color w:val="auto"/>
        </w:rPr>
      </w:pPr>
      <w:r>
        <w:rPr>
          <w:rFonts w:ascii="Arial" w:cs="Arial" w:eastAsia="Arial" w:hAnsi="Arial"/>
          <w:sz w:val="30"/>
          <w:szCs w:val="30"/>
          <w:color w:val="auto"/>
          <w:vertAlign w:val="superscript"/>
        </w:rPr>
        <w:t>(a )</w:t>
      </w:r>
      <w:r>
        <w:rPr>
          <w:rFonts w:ascii="Arial" w:cs="Arial" w:eastAsia="Arial" w:hAnsi="Arial"/>
          <w:sz w:val="18"/>
          <w:szCs w:val="18"/>
          <w:color w:val="auto"/>
        </w:rPr>
        <w:t xml:space="preserve"> Level 1: Quoted market prices in an active market.</w:t>
      </w:r>
    </w:p>
    <w:p>
      <w:pPr>
        <w:ind w:left="860" w:hanging="204"/>
        <w:spacing w:after="0" w:line="213" w:lineRule="auto"/>
        <w:tabs>
          <w:tab w:leader="none" w:pos="860" w:val="left"/>
        </w:tabs>
        <w:numPr>
          <w:ilvl w:val="0"/>
          <w:numId w:val="59"/>
        </w:numPr>
        <w:rPr>
          <w:rFonts w:ascii="Arial" w:cs="Arial" w:eastAsia="Arial" w:hAnsi="Arial"/>
          <w:sz w:val="25"/>
          <w:szCs w:val="25"/>
          <w:color w:val="auto"/>
          <w:vertAlign w:val="superscript"/>
        </w:rPr>
      </w:pPr>
      <w:r>
        <w:rPr>
          <w:rFonts w:ascii="Arial" w:cs="Arial" w:eastAsia="Arial" w:hAnsi="Arial"/>
          <w:sz w:val="16"/>
          <w:szCs w:val="16"/>
          <w:color w:val="auto"/>
        </w:rPr>
        <w:t>Level 2: Internally developed models with significant observable market or quoted market prices in an inactive market.</w:t>
      </w:r>
    </w:p>
    <w:p>
      <w:pPr>
        <w:spacing w:after="0" w:line="42" w:lineRule="exact"/>
        <w:rPr>
          <w:rFonts w:ascii="Arial" w:cs="Arial" w:eastAsia="Arial" w:hAnsi="Arial"/>
          <w:sz w:val="25"/>
          <w:szCs w:val="25"/>
          <w:color w:val="auto"/>
          <w:vertAlign w:val="superscript"/>
        </w:rPr>
      </w:pPr>
    </w:p>
    <w:p>
      <w:pPr>
        <w:ind w:left="860" w:hanging="204"/>
        <w:spacing w:after="0" w:line="186" w:lineRule="auto"/>
        <w:tabs>
          <w:tab w:leader="none" w:pos="860" w:val="left"/>
        </w:tabs>
        <w:numPr>
          <w:ilvl w:val="0"/>
          <w:numId w:val="59"/>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02"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382"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5" w:name="page56"/>
    <w:bookmarkEnd w:id="5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methods and assumptions were used by the Bank’s management in estimating the fair values of financial instruments whose fair value is not measured on a recurring basis:</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Financial instruments with carrying value that approximates fair value</w:t>
      </w:r>
    </w:p>
    <w:p>
      <w:pPr>
        <w:spacing w:after="0" w:line="225"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Securities at amortized cost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Loans at amortized cost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September 30 of the relevant period. These assets are classified in Level 2.</w:t>
      </w:r>
    </w:p>
    <w:p>
      <w:pPr>
        <w:spacing w:after="0" w:line="18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i w:val="1"/>
          <w:iCs w:val="1"/>
          <w:color w:val="auto"/>
        </w:rPr>
        <w:t>Short and long-term borrowings and debt</w:t>
      </w:r>
    </w:p>
    <w:p>
      <w:pPr>
        <w:spacing w:after="0" w:line="225"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39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6" w:name="page57"/>
    <w:bookmarkEnd w:id="5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80" w:lineRule="exact"/>
        <w:rPr>
          <w:sz w:val="20"/>
          <w:szCs w:val="20"/>
          <w:color w:val="auto"/>
        </w:rPr>
      </w:pPr>
    </w:p>
    <w:tbl>
      <w:tblPr>
        <w:tblLayout w:type="fixed"/>
        <w:tblInd w:w="5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90"/>
              </w:rPr>
              <w:t>September 30, 2016</w:t>
            </w:r>
          </w:p>
        </w:tc>
        <w:tc>
          <w:tcPr>
            <w:tcW w:w="118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4"/>
              </w:rPr>
              <w:t>Carrying</w:t>
            </w:r>
          </w:p>
        </w:tc>
        <w:tc>
          <w:tcPr>
            <w:tcW w:w="12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6"/>
              </w:rPr>
              <w:t>Fair</w:t>
            </w:r>
          </w:p>
        </w:tc>
        <w:tc>
          <w:tcPr>
            <w:tcW w:w="200" w:type="dxa"/>
            <w:vAlign w:val="bottom"/>
          </w:tcPr>
          <w:p>
            <w:pPr>
              <w:spacing w:after="0"/>
              <w:rPr>
                <w:sz w:val="16"/>
                <w:szCs w:val="16"/>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4"/>
              </w:rPr>
              <w:t>Level 1</w:t>
            </w:r>
            <w:r>
              <w:rPr>
                <w:rFonts w:ascii="Arial" w:cs="Arial" w:eastAsia="Arial" w:hAnsi="Arial"/>
                <w:sz w:val="30"/>
                <w:szCs w:val="30"/>
                <w:b w:val="1"/>
                <w:bCs w:val="1"/>
                <w:color w:val="auto"/>
                <w:w w:val="84"/>
                <w:vertAlign w:val="superscript"/>
              </w:rPr>
              <w:t>(a)</w:t>
            </w:r>
          </w:p>
        </w:tc>
        <w:tc>
          <w:tcPr>
            <w:tcW w:w="138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2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value</w:t>
            </w:r>
          </w:p>
        </w:tc>
        <w:tc>
          <w:tcPr>
            <w:tcW w:w="20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80" w:type="dxa"/>
            <w:vAlign w:val="bottom"/>
            <w:gridSpan w:val="2"/>
            <w:vMerge w:val="continue"/>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11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3"/>
              </w:rPr>
              <w:t>Financial assets</w:t>
            </w:r>
          </w:p>
        </w:tc>
        <w:tc>
          <w:tcPr>
            <w:tcW w:w="266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40" w:type="dxa"/>
            <w:vAlign w:val="bottom"/>
            <w:gridSpan w:val="3"/>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tcPr>
          <w:p>
            <w:pPr>
              <w:ind w:left="140"/>
              <w:spacing w:after="0"/>
              <w:rPr>
                <w:sz w:val="20"/>
                <w:szCs w:val="20"/>
                <w:color w:val="auto"/>
              </w:rPr>
            </w:pPr>
            <w:r>
              <w:rPr>
                <w:rFonts w:ascii="Arial" w:cs="Arial" w:eastAsia="Arial" w:hAnsi="Arial"/>
                <w:sz w:val="18"/>
                <w:szCs w:val="18"/>
                <w:color w:val="auto"/>
              </w:rPr>
              <w:t>fair value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801,891</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801,891</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801,891</w:t>
            </w: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88,866</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89,202</w:t>
            </w:r>
          </w:p>
        </w:tc>
        <w:tc>
          <w:tcPr>
            <w:tcW w:w="16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86,202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3,000</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8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6,278,352</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6,380,876</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6,380,876</w:t>
            </w: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8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Financial 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18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2"/>
        </w:trPr>
        <w:tc>
          <w:tcPr>
            <w:tcW w:w="20" w:type="dxa"/>
            <w:vAlign w:val="bottom"/>
            <w:vMerge w:val="continue"/>
          </w:tcPr>
          <w:p>
            <w:pPr>
              <w:spacing w:after="0"/>
              <w:rPr>
                <w:sz w:val="17"/>
                <w:szCs w:val="17"/>
                <w:color w:val="auto"/>
              </w:rPr>
            </w:pPr>
          </w:p>
        </w:tc>
        <w:tc>
          <w:tcPr>
            <w:tcW w:w="38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fair value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2,878,587</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2,878,587</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2,878,587</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1,132,488</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1,132,524</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1,132,524</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1,831,372</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1,869,848</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1,869,848</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center"/>
              <w:ind w:right="60"/>
              <w:spacing w:after="0"/>
              <w:rPr>
                <w:sz w:val="20"/>
                <w:szCs w:val="20"/>
                <w:color w:val="auto"/>
              </w:rPr>
            </w:pPr>
            <w:r>
              <w:rPr>
                <w:rFonts w:ascii="Arial" w:cs="Arial" w:eastAsia="Arial" w:hAnsi="Arial"/>
                <w:sz w:val="18"/>
                <w:szCs w:val="18"/>
                <w:b w:val="1"/>
                <w:bCs w:val="1"/>
                <w:color w:val="auto"/>
                <w:w w:val="88"/>
              </w:rPr>
              <w:t>December 31, 2015</w:t>
            </w: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2400" w:type="dxa"/>
            <w:vAlign w:val="bottom"/>
          </w:tcPr>
          <w:p>
            <w:pPr>
              <w:spacing w:after="0"/>
              <w:rPr>
                <w:sz w:val="16"/>
                <w:szCs w:val="16"/>
                <w:color w:val="auto"/>
              </w:rPr>
            </w:pPr>
          </w:p>
        </w:tc>
        <w:tc>
          <w:tcPr>
            <w:tcW w:w="14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4"/>
              </w:rPr>
              <w:t>Carrying</w:t>
            </w:r>
          </w:p>
        </w:tc>
        <w:tc>
          <w:tcPr>
            <w:tcW w:w="1200" w:type="dxa"/>
            <w:vAlign w:val="bottom"/>
            <w:gridSpan w:val="2"/>
          </w:tcPr>
          <w:p>
            <w:pPr>
              <w:jc w:val="center"/>
              <w:spacing w:after="0" w:line="191" w:lineRule="exact"/>
              <w:rPr>
                <w:sz w:val="20"/>
                <w:szCs w:val="20"/>
                <w:color w:val="auto"/>
              </w:rPr>
            </w:pPr>
            <w:r>
              <w:rPr>
                <w:rFonts w:ascii="Arial" w:cs="Arial" w:eastAsia="Arial" w:hAnsi="Arial"/>
                <w:sz w:val="18"/>
                <w:szCs w:val="18"/>
                <w:b w:val="1"/>
                <w:bCs w:val="1"/>
                <w:color w:val="auto"/>
                <w:w w:val="96"/>
              </w:rPr>
              <w:t>Fair</w:t>
            </w:r>
          </w:p>
        </w:tc>
        <w:tc>
          <w:tcPr>
            <w:tcW w:w="200" w:type="dxa"/>
            <w:vAlign w:val="bottom"/>
          </w:tcPr>
          <w:p>
            <w:pPr>
              <w:spacing w:after="0"/>
              <w:rPr>
                <w:sz w:val="16"/>
                <w:szCs w:val="16"/>
                <w:color w:val="auto"/>
              </w:rPr>
            </w:pPr>
          </w:p>
        </w:tc>
        <w:tc>
          <w:tcPr>
            <w:tcW w:w="1420" w:type="dxa"/>
            <w:vAlign w:val="bottom"/>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4"/>
              </w:rPr>
              <w:t>Level 1</w:t>
            </w:r>
            <w:r>
              <w:rPr>
                <w:rFonts w:ascii="Arial" w:cs="Arial" w:eastAsia="Arial" w:hAnsi="Arial"/>
                <w:sz w:val="30"/>
                <w:szCs w:val="30"/>
                <w:b w:val="1"/>
                <w:bCs w:val="1"/>
                <w:color w:val="auto"/>
                <w:w w:val="84"/>
                <w:vertAlign w:val="superscript"/>
              </w:rPr>
              <w:t>(a)</w:t>
            </w:r>
          </w:p>
        </w:tc>
        <w:tc>
          <w:tcPr>
            <w:tcW w:w="138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2</w:t>
            </w:r>
            <w:r>
              <w:rPr>
                <w:rFonts w:ascii="Arial" w:cs="Arial" w:eastAsia="Arial" w:hAnsi="Arial"/>
                <w:sz w:val="30"/>
                <w:szCs w:val="30"/>
                <w:b w:val="1"/>
                <w:bCs w:val="1"/>
                <w:color w:val="auto"/>
                <w:vertAlign w:val="superscript"/>
              </w:rPr>
              <w:t>(b)</w:t>
            </w:r>
          </w:p>
        </w:tc>
        <w:tc>
          <w:tcPr>
            <w:tcW w:w="1260" w:type="dxa"/>
            <w:vAlign w:val="bottom"/>
            <w:gridSpan w:val="2"/>
            <w:vMerge w:val="restart"/>
          </w:tcPr>
          <w:p>
            <w:pPr>
              <w:ind w:left="220"/>
              <w:spacing w:after="0"/>
              <w:rPr>
                <w:sz w:val="20"/>
                <w:szCs w:val="20"/>
                <w:color w:val="auto"/>
              </w:rPr>
            </w:pPr>
            <w:r>
              <w:rPr>
                <w:rFonts w:ascii="Arial" w:cs="Arial" w:eastAsia="Arial" w:hAnsi="Arial"/>
                <w:sz w:val="18"/>
                <w:szCs w:val="18"/>
                <w:b w:val="1"/>
                <w:bCs w:val="1"/>
                <w:color w:val="auto"/>
              </w:rPr>
              <w:t>Level 3</w:t>
            </w:r>
            <w:r>
              <w:rPr>
                <w:rFonts w:ascii="Arial" w:cs="Arial" w:eastAsia="Arial" w:hAnsi="Arial"/>
                <w:sz w:val="30"/>
                <w:szCs w:val="30"/>
                <w:b w:val="1"/>
                <w:bCs w:val="1"/>
                <w:color w:val="auto"/>
                <w:vertAlign w:val="superscript"/>
              </w:rPr>
              <w:t>(c)</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24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value</w:t>
            </w:r>
          </w:p>
        </w:tc>
        <w:tc>
          <w:tcPr>
            <w:tcW w:w="200" w:type="dxa"/>
            <w:vAlign w:val="bottom"/>
          </w:tcPr>
          <w:p>
            <w:pPr>
              <w:spacing w:after="0"/>
              <w:rPr>
                <w:sz w:val="20"/>
                <w:szCs w:val="20"/>
                <w:color w:val="auto"/>
              </w:rPr>
            </w:pPr>
          </w:p>
        </w:tc>
        <w:tc>
          <w:tcPr>
            <w:tcW w:w="1420" w:type="dxa"/>
            <w:vAlign w:val="bottom"/>
            <w:gridSpan w:val="2"/>
            <w:vMerge w:val="continue"/>
          </w:tcPr>
          <w:p>
            <w:pPr>
              <w:spacing w:after="0"/>
              <w:rPr>
                <w:sz w:val="20"/>
                <w:szCs w:val="20"/>
                <w:color w:val="auto"/>
              </w:rPr>
            </w:pPr>
          </w:p>
        </w:tc>
        <w:tc>
          <w:tcPr>
            <w:tcW w:w="1380" w:type="dxa"/>
            <w:vAlign w:val="bottom"/>
            <w:gridSpan w:val="2"/>
            <w:vMerge w:val="continue"/>
          </w:tcPr>
          <w:p>
            <w:pPr>
              <w:spacing w:after="0"/>
              <w:rPr>
                <w:sz w:val="20"/>
                <w:szCs w:val="20"/>
                <w:color w:val="auto"/>
              </w:rPr>
            </w:pPr>
          </w:p>
        </w:tc>
        <w:tc>
          <w:tcPr>
            <w:tcW w:w="1260" w:type="dxa"/>
            <w:vAlign w:val="bottom"/>
            <w:gridSpan w:val="2"/>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20" w:type="dxa"/>
            <w:vAlign w:val="bottom"/>
          </w:tcPr>
          <w:p>
            <w:pPr>
              <w:spacing w:after="0"/>
              <w:rPr>
                <w:sz w:val="16"/>
                <w:szCs w:val="16"/>
                <w:color w:val="auto"/>
              </w:rPr>
            </w:pPr>
          </w:p>
        </w:tc>
        <w:tc>
          <w:tcPr>
            <w:tcW w:w="118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83"/>
              </w:rPr>
              <w:t>Financial assets</w:t>
            </w:r>
          </w:p>
        </w:tc>
        <w:tc>
          <w:tcPr>
            <w:tcW w:w="266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 w:type="dxa"/>
            <w:vAlign w:val="bottom"/>
            <w:tcBorders>
              <w:top w:val="single" w:sz="8" w:color="CCEEFF"/>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8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6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3840" w:type="dxa"/>
            <w:vAlign w:val="bottom"/>
            <w:gridSpan w:val="3"/>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tcPr>
          <w:p>
            <w:pPr>
              <w:ind w:left="140"/>
              <w:spacing w:after="0"/>
              <w:rPr>
                <w:sz w:val="20"/>
                <w:szCs w:val="20"/>
                <w:color w:val="auto"/>
              </w:rPr>
            </w:pPr>
            <w:r>
              <w:rPr>
                <w:rFonts w:ascii="Arial" w:cs="Arial" w:eastAsia="Arial" w:hAnsi="Arial"/>
                <w:sz w:val="18"/>
                <w:szCs w:val="18"/>
                <w:color w:val="auto"/>
              </w:rPr>
              <w:t>fair value</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1,360,522</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1,360,522</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1,360,522</w:t>
            </w:r>
          </w:p>
        </w:tc>
        <w:tc>
          <w:tcPr>
            <w:tcW w:w="200" w:type="dxa"/>
            <w:vAlign w:val="bottom"/>
          </w:tcPr>
          <w:p>
            <w:pPr>
              <w:spacing w:after="0"/>
              <w:rPr>
                <w:sz w:val="20"/>
                <w:szCs w:val="20"/>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Securities at amortized cost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108,215</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101,726</w:t>
            </w:r>
          </w:p>
        </w:tc>
        <w:tc>
          <w:tcPr>
            <w:tcW w:w="16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76,673</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25,053</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384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w:t>
            </w:r>
            <w:r>
              <w:rPr>
                <w:rFonts w:ascii="Arial" w:cs="Arial" w:eastAsia="Arial" w:hAnsi="Arial"/>
                <w:sz w:val="29"/>
                <w:szCs w:val="29"/>
                <w:color w:val="auto"/>
                <w:vertAlign w:val="superscript"/>
              </w:rPr>
              <w:t>(1)</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6,592,471</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6,727,045</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6,727,045</w:t>
            </w:r>
          </w:p>
        </w:tc>
        <w:tc>
          <w:tcPr>
            <w:tcW w:w="20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24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84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Financial liabilities</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118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2"/>
        </w:trPr>
        <w:tc>
          <w:tcPr>
            <w:tcW w:w="20" w:type="dxa"/>
            <w:vAlign w:val="bottom"/>
            <w:vMerge w:val="continue"/>
          </w:tcPr>
          <w:p>
            <w:pPr>
              <w:spacing w:after="0"/>
              <w:rPr>
                <w:sz w:val="17"/>
                <w:szCs w:val="17"/>
                <w:color w:val="auto"/>
              </w:rPr>
            </w:pPr>
          </w:p>
        </w:tc>
        <w:tc>
          <w:tcPr>
            <w:tcW w:w="3840" w:type="dxa"/>
            <w:vAlign w:val="bottom"/>
            <w:gridSpan w:val="3"/>
            <w:shd w:val="clear" w:color="auto" w:fill="CCEEFF"/>
          </w:tcPr>
          <w:p>
            <w:pPr>
              <w:spacing w:after="0" w:line="201" w:lineRule="exact"/>
              <w:rPr>
                <w:sz w:val="20"/>
                <w:szCs w:val="20"/>
                <w:color w:val="auto"/>
              </w:rPr>
            </w:pPr>
            <w:r>
              <w:rPr>
                <w:rFonts w:ascii="Arial" w:cs="Arial" w:eastAsia="Arial" w:hAnsi="Arial"/>
                <w:sz w:val="18"/>
                <w:szCs w:val="18"/>
                <w:color w:val="auto"/>
                <w:w w:val="96"/>
              </w:rPr>
              <w:t>Instruments with carrying value that approximates</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84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fair value</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2,678,806</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2,678,806</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2,678,806</w:t>
            </w:r>
          </w:p>
        </w:tc>
        <w:tc>
          <w:tcPr>
            <w:tcW w:w="200" w:type="dxa"/>
            <w:vAlign w:val="bottom"/>
            <w:shd w:val="clear" w:color="auto" w:fill="CCEEFF"/>
          </w:tcPr>
          <w:p>
            <w:pPr>
              <w:spacing w:after="0"/>
              <w:rPr>
                <w:sz w:val="20"/>
                <w:szCs w:val="20"/>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tcPr>
          <w:p>
            <w:pPr>
              <w:spacing w:after="0"/>
              <w:rPr>
                <w:sz w:val="20"/>
                <w:szCs w:val="20"/>
                <w:color w:val="auto"/>
              </w:rPr>
            </w:pPr>
            <w:r>
              <w:rPr>
                <w:rFonts w:ascii="Arial" w:cs="Arial" w:eastAsia="Arial" w:hAnsi="Arial"/>
                <w:sz w:val="18"/>
                <w:szCs w:val="18"/>
                <w:color w:val="auto"/>
              </w:rPr>
              <w:t>Short-term borrowings and debt</w:t>
            </w:r>
          </w:p>
        </w:tc>
        <w:tc>
          <w:tcPr>
            <w:tcW w:w="1400" w:type="dxa"/>
            <w:vAlign w:val="bottom"/>
            <w:gridSpan w:val="2"/>
          </w:tcPr>
          <w:p>
            <w:pPr>
              <w:jc w:val="right"/>
              <w:ind w:right="220"/>
              <w:spacing w:after="0"/>
              <w:rPr>
                <w:sz w:val="20"/>
                <w:szCs w:val="20"/>
                <w:color w:val="auto"/>
              </w:rPr>
            </w:pPr>
            <w:r>
              <w:rPr>
                <w:rFonts w:ascii="Arial" w:cs="Arial" w:eastAsia="Arial" w:hAnsi="Arial"/>
                <w:sz w:val="18"/>
                <w:szCs w:val="18"/>
                <w:color w:val="auto"/>
              </w:rPr>
              <w:t>2,430,357</w:t>
            </w:r>
          </w:p>
        </w:tc>
        <w:tc>
          <w:tcPr>
            <w:tcW w:w="1200" w:type="dxa"/>
            <w:vAlign w:val="bottom"/>
            <w:gridSpan w:val="2"/>
          </w:tcPr>
          <w:p>
            <w:pPr>
              <w:jc w:val="right"/>
              <w:ind w:right="20"/>
              <w:spacing w:after="0"/>
              <w:rPr>
                <w:sz w:val="20"/>
                <w:szCs w:val="20"/>
                <w:color w:val="auto"/>
              </w:rPr>
            </w:pPr>
            <w:r>
              <w:rPr>
                <w:rFonts w:ascii="Arial" w:cs="Arial" w:eastAsia="Arial" w:hAnsi="Arial"/>
                <w:sz w:val="18"/>
                <w:szCs w:val="18"/>
                <w:color w:val="auto"/>
              </w:rPr>
              <w:t>2,428,513</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2,428,513</w:t>
            </w:r>
          </w:p>
        </w:tc>
        <w:tc>
          <w:tcPr>
            <w:tcW w:w="200" w:type="dxa"/>
            <w:vAlign w:val="bottom"/>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4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Long-term borrowings and debt</w:t>
            </w:r>
          </w:p>
        </w:tc>
        <w:tc>
          <w:tcPr>
            <w:tcW w:w="14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1,881,813</w:t>
            </w:r>
          </w:p>
        </w:tc>
        <w:tc>
          <w:tcPr>
            <w:tcW w:w="1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1,904,231</w:t>
            </w: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1,904,231</w:t>
            </w:r>
          </w:p>
        </w:tc>
        <w:tc>
          <w:tcPr>
            <w:tcW w:w="200" w:type="dxa"/>
            <w:vAlign w:val="bottom"/>
            <w:shd w:val="clear" w:color="auto" w:fill="CCEEFF"/>
          </w:tcPr>
          <w:p>
            <w:pPr>
              <w:spacing w:after="0"/>
              <w:rPr>
                <w:sz w:val="18"/>
                <w:szCs w:val="18"/>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bl>
    <w:p>
      <w:pPr>
        <w:spacing w:after="0" w:line="129" w:lineRule="exact"/>
        <w:rPr>
          <w:sz w:val="20"/>
          <w:szCs w:val="20"/>
          <w:color w:val="auto"/>
        </w:rPr>
      </w:pPr>
    </w:p>
    <w:p>
      <w:pPr>
        <w:ind w:left="660"/>
        <w:spacing w:after="0"/>
        <w:rPr>
          <w:sz w:val="20"/>
          <w:szCs w:val="20"/>
          <w:color w:val="auto"/>
        </w:rPr>
      </w:pPr>
      <w:r>
        <w:rPr>
          <w:rFonts w:ascii="Arial" w:cs="Arial" w:eastAsia="Arial" w:hAnsi="Arial"/>
          <w:sz w:val="30"/>
          <w:szCs w:val="30"/>
          <w:color w:val="auto"/>
          <w:vertAlign w:val="superscript"/>
        </w:rPr>
        <w:t>(a )</w:t>
      </w:r>
      <w:r>
        <w:rPr>
          <w:rFonts w:ascii="Arial" w:cs="Arial" w:eastAsia="Arial" w:hAnsi="Arial"/>
          <w:sz w:val="18"/>
          <w:szCs w:val="18"/>
          <w:color w:val="auto"/>
        </w:rPr>
        <w:t xml:space="preserve"> Level 1: Quoted market prices in an active market.</w:t>
      </w:r>
    </w:p>
    <w:p>
      <w:pPr>
        <w:ind w:left="860" w:hanging="204"/>
        <w:spacing w:after="0" w:line="213" w:lineRule="auto"/>
        <w:tabs>
          <w:tab w:leader="none" w:pos="860" w:val="left"/>
        </w:tabs>
        <w:numPr>
          <w:ilvl w:val="0"/>
          <w:numId w:val="62"/>
        </w:numPr>
        <w:rPr>
          <w:rFonts w:ascii="Arial" w:cs="Arial" w:eastAsia="Arial" w:hAnsi="Arial"/>
          <w:sz w:val="25"/>
          <w:szCs w:val="25"/>
          <w:color w:val="auto"/>
          <w:vertAlign w:val="superscript"/>
        </w:rPr>
      </w:pPr>
      <w:r>
        <w:rPr>
          <w:rFonts w:ascii="Arial" w:cs="Arial" w:eastAsia="Arial" w:hAnsi="Arial"/>
          <w:sz w:val="16"/>
          <w:szCs w:val="16"/>
          <w:color w:val="auto"/>
        </w:rPr>
        <w:t>Level 2: Internally developed models with significant observable market or quoted market prices in an inactive market.</w:t>
      </w:r>
    </w:p>
    <w:p>
      <w:pPr>
        <w:spacing w:after="0" w:line="42" w:lineRule="exact"/>
        <w:rPr>
          <w:rFonts w:ascii="Arial" w:cs="Arial" w:eastAsia="Arial" w:hAnsi="Arial"/>
          <w:sz w:val="25"/>
          <w:szCs w:val="25"/>
          <w:color w:val="auto"/>
          <w:vertAlign w:val="superscript"/>
        </w:rPr>
      </w:pPr>
    </w:p>
    <w:p>
      <w:pPr>
        <w:ind w:left="860" w:hanging="204"/>
        <w:spacing w:after="0" w:line="186" w:lineRule="auto"/>
        <w:tabs>
          <w:tab w:leader="none" w:pos="860" w:val="left"/>
        </w:tabs>
        <w:numPr>
          <w:ilvl w:val="0"/>
          <w:numId w:val="62"/>
        </w:numPr>
        <w:rPr>
          <w:rFonts w:ascii="Arial" w:cs="Arial" w:eastAsia="Arial" w:hAnsi="Arial"/>
          <w:sz w:val="24"/>
          <w:szCs w:val="24"/>
          <w:color w:val="auto"/>
          <w:vertAlign w:val="superscript"/>
        </w:rPr>
      </w:pPr>
      <w:r>
        <w:rPr>
          <w:rFonts w:ascii="Arial" w:cs="Arial" w:eastAsia="Arial" w:hAnsi="Arial"/>
          <w:sz w:val="15"/>
          <w:szCs w:val="15"/>
          <w:color w:val="auto"/>
        </w:rPr>
        <w:t>Level 3: Internally developed models with significant unobservable market information.</w:t>
      </w:r>
    </w:p>
    <w:p>
      <w:pPr>
        <w:spacing w:after="0" w:line="243" w:lineRule="exact"/>
        <w:rPr>
          <w:sz w:val="20"/>
          <w:szCs w:val="20"/>
          <w:color w:val="auto"/>
        </w:rPr>
      </w:pPr>
    </w:p>
    <w:p>
      <w:pPr>
        <w:jc w:val="both"/>
        <w:ind w:left="660" w:hanging="4"/>
        <w:spacing w:after="0" w:line="238" w:lineRule="auto"/>
        <w:tabs>
          <w:tab w:leader="none" w:pos="872" w:val="left"/>
        </w:tabs>
        <w:numPr>
          <w:ilvl w:val="0"/>
          <w:numId w:val="63"/>
        </w:numPr>
        <w:rPr>
          <w:rFonts w:ascii="Arial" w:cs="Arial" w:eastAsia="Arial" w:hAnsi="Arial"/>
          <w:sz w:val="26"/>
          <w:szCs w:val="26"/>
          <w:b w:val="1"/>
          <w:bCs w:val="1"/>
          <w:color w:val="auto"/>
          <w:vertAlign w:val="superscript"/>
        </w:rPr>
      </w:pPr>
      <w:r>
        <w:rPr>
          <w:rFonts w:ascii="Arial" w:cs="Arial" w:eastAsia="Arial" w:hAnsi="Arial"/>
          <w:sz w:val="16"/>
          <w:szCs w:val="16"/>
          <w:color w:val="auto"/>
        </w:rPr>
        <w:t>The carrying value of loans is net of the allowance for expected credit losses of $106.3 million and unearned interest and deferred fees of $8.7 million for September 30, 2016; allowance for expected credit losses of $90.0 million and unearned interest and deferred fees of $9.3 million for December 31, 2015.</w:t>
      </w:r>
    </w:p>
    <w:p>
      <w:pPr>
        <w:spacing w:after="0" w:line="200" w:lineRule="exact"/>
        <w:rPr>
          <w:sz w:val="20"/>
          <w:szCs w:val="20"/>
          <w:color w:val="auto"/>
        </w:rPr>
      </w:pPr>
    </w:p>
    <w:p>
      <w:pPr>
        <w:spacing w:after="0" w:line="219"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7" w:name="page58"/>
    <w:bookmarkEnd w:id="5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160" w:type="dxa"/>
            <w:vAlign w:val="bottom"/>
            <w:gridSpan w:val="2"/>
          </w:tcPr>
          <w:p>
            <w:pPr>
              <w:spacing w:after="0"/>
              <w:rPr>
                <w:sz w:val="20"/>
                <w:szCs w:val="20"/>
                <w:color w:val="auto"/>
              </w:rPr>
            </w:pPr>
            <w:r>
              <w:rPr>
                <w:rFonts w:ascii="Arial" w:cs="Arial" w:eastAsia="Arial" w:hAnsi="Arial"/>
                <w:sz w:val="18"/>
                <w:szCs w:val="18"/>
                <w:b w:val="1"/>
                <w:bCs w:val="1"/>
                <w:color w:val="auto"/>
              </w:rPr>
              <w:t>14.   Accumulated other comprehensive income (loss)</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500" w:type="dxa"/>
            <w:vAlign w:val="bottom"/>
          </w:tcPr>
          <w:p>
            <w:pPr>
              <w:spacing w:after="0"/>
              <w:rPr>
                <w:sz w:val="24"/>
                <w:szCs w:val="24"/>
                <w:color w:val="auto"/>
              </w:rPr>
            </w:pPr>
          </w:p>
        </w:tc>
        <w:tc>
          <w:tcPr>
            <w:tcW w:w="6660" w:type="dxa"/>
            <w:vAlign w:val="bottom"/>
          </w:tcPr>
          <w:p>
            <w:pPr>
              <w:spacing w:after="0"/>
              <w:rPr>
                <w:sz w:val="24"/>
                <w:szCs w:val="24"/>
                <w:color w:val="auto"/>
              </w:rPr>
            </w:pPr>
          </w:p>
        </w:tc>
        <w:tc>
          <w:tcPr>
            <w:tcW w:w="140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Financial</w:t>
            </w: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Derivative</w:t>
            </w: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660" w:type="dxa"/>
            <w:vAlign w:val="bottom"/>
          </w:tcPr>
          <w:p>
            <w:pPr>
              <w:spacing w:after="0"/>
              <w:rPr>
                <w:sz w:val="18"/>
                <w:szCs w:val="18"/>
                <w:color w:val="auto"/>
              </w:rPr>
            </w:pPr>
          </w:p>
        </w:tc>
        <w:tc>
          <w:tcPr>
            <w:tcW w:w="14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0"/>
              </w:rPr>
              <w:t>instruments at</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financial</w:t>
            </w:r>
          </w:p>
        </w:tc>
        <w:tc>
          <w:tcPr>
            <w:tcW w:w="11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500" w:type="dxa"/>
            <w:vAlign w:val="bottom"/>
          </w:tcPr>
          <w:p>
            <w:pPr>
              <w:spacing w:after="0"/>
              <w:rPr>
                <w:sz w:val="20"/>
                <w:szCs w:val="20"/>
                <w:color w:val="auto"/>
              </w:rPr>
            </w:pPr>
          </w:p>
        </w:tc>
        <w:tc>
          <w:tcPr>
            <w:tcW w:w="6660" w:type="dxa"/>
            <w:vAlign w:val="bottom"/>
          </w:tcPr>
          <w:p>
            <w:pPr>
              <w:spacing w:after="0"/>
              <w:rPr>
                <w:sz w:val="20"/>
                <w:szCs w:val="20"/>
                <w:color w:val="auto"/>
              </w:rPr>
            </w:pPr>
          </w:p>
        </w:tc>
        <w:tc>
          <w:tcPr>
            <w:tcW w:w="14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FVOCI</w:t>
            </w: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instruments</w:t>
            </w:r>
          </w:p>
        </w:tc>
        <w:tc>
          <w:tcPr>
            <w:tcW w:w="126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6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2016</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(8,931)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(1,750)</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(10,681)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660" w:type="dxa"/>
            <w:vAlign w:val="bottom"/>
          </w:tcPr>
          <w:p>
            <w:pPr>
              <w:spacing w:after="0"/>
              <w:rPr>
                <w:sz w:val="20"/>
                <w:szCs w:val="20"/>
                <w:color w:val="auto"/>
              </w:rPr>
            </w:pPr>
            <w:r>
              <w:rPr>
                <w:rFonts w:ascii="Arial" w:cs="Arial" w:eastAsia="Arial" w:hAnsi="Arial"/>
                <w:sz w:val="18"/>
                <w:szCs w:val="18"/>
                <w:color w:val="auto"/>
              </w:rPr>
              <w:t>Net unrealized gain arising from the period</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6,933</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2,137</w:t>
            </w:r>
          </w:p>
        </w:tc>
        <w:tc>
          <w:tcPr>
            <w:tcW w:w="1260" w:type="dxa"/>
            <w:vAlign w:val="bottom"/>
            <w:gridSpan w:val="2"/>
          </w:tcPr>
          <w:p>
            <w:pPr>
              <w:jc w:val="right"/>
              <w:ind w:right="20"/>
              <w:spacing w:after="0"/>
              <w:rPr>
                <w:sz w:val="20"/>
                <w:szCs w:val="20"/>
                <w:color w:val="auto"/>
              </w:rPr>
            </w:pPr>
            <w:r>
              <w:rPr>
                <w:rFonts w:ascii="Arial" w:cs="Arial" w:eastAsia="Arial" w:hAnsi="Arial"/>
                <w:sz w:val="18"/>
                <w:szCs w:val="18"/>
                <w:color w:val="auto"/>
              </w:rPr>
              <w:t>9,070</w:t>
            </w:r>
          </w:p>
        </w:tc>
        <w:tc>
          <w:tcPr>
            <w:tcW w:w="0" w:type="dxa"/>
            <w:vAlign w:val="bottom"/>
          </w:tcPr>
          <w:p>
            <w:pPr>
              <w:spacing w:after="0"/>
              <w:rPr>
                <w:sz w:val="1"/>
                <w:szCs w:val="1"/>
                <w:color w:val="auto"/>
              </w:rPr>
            </w:pPr>
          </w:p>
        </w:tc>
      </w:tr>
      <w:tr>
        <w:trPr>
          <w:trHeight w:val="270"/>
        </w:trPr>
        <w:tc>
          <w:tcPr>
            <w:tcW w:w="500" w:type="dxa"/>
            <w:vAlign w:val="bottom"/>
          </w:tcPr>
          <w:p>
            <w:pPr>
              <w:spacing w:after="0"/>
              <w:rPr>
                <w:sz w:val="23"/>
                <w:szCs w:val="23"/>
                <w:color w:val="auto"/>
              </w:rPr>
            </w:pPr>
          </w:p>
        </w:tc>
        <w:tc>
          <w:tcPr>
            <w:tcW w:w="666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1,317</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(4,090)</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(2,773)</w:t>
            </w: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6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8,250</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(1,953</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6,297</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66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2016</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(681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(3,703</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(4,384</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6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500" w:type="dxa"/>
            <w:vAlign w:val="bottom"/>
            <w:vMerge w:val="restart"/>
          </w:tcPr>
          <w:p>
            <w:pPr>
              <w:spacing w:after="0"/>
              <w:rPr>
                <w:sz w:val="17"/>
                <w:szCs w:val="17"/>
                <w:color w:val="auto"/>
              </w:rPr>
            </w:pPr>
          </w:p>
        </w:tc>
        <w:tc>
          <w:tcPr>
            <w:tcW w:w="666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500" w:type="dxa"/>
            <w:vAlign w:val="bottom"/>
            <w:vMerge w:val="continue"/>
          </w:tcPr>
          <w:p>
            <w:pPr>
              <w:spacing w:after="0"/>
              <w:rPr>
                <w:sz w:val="18"/>
                <w:szCs w:val="18"/>
                <w:color w:val="auto"/>
              </w:rPr>
            </w:pPr>
          </w:p>
        </w:tc>
        <w:tc>
          <w:tcPr>
            <w:tcW w:w="66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2015</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(6,817)</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(1,020)</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(7,837)</w:t>
            </w:r>
          </w:p>
        </w:tc>
        <w:tc>
          <w:tcPr>
            <w:tcW w:w="0" w:type="dxa"/>
            <w:vAlign w:val="bottom"/>
          </w:tcPr>
          <w:p>
            <w:pPr>
              <w:spacing w:after="0"/>
              <w:rPr>
                <w:sz w:val="1"/>
                <w:szCs w:val="1"/>
                <w:color w:val="auto"/>
              </w:rPr>
            </w:pPr>
          </w:p>
        </w:tc>
      </w:tr>
      <w:tr>
        <w:trPr>
          <w:trHeight w:val="216"/>
        </w:trPr>
        <w:tc>
          <w:tcPr>
            <w:tcW w:w="500" w:type="dxa"/>
            <w:vAlign w:val="bottom"/>
          </w:tcPr>
          <w:p>
            <w:pPr>
              <w:spacing w:after="0"/>
              <w:rPr>
                <w:sz w:val="18"/>
                <w:szCs w:val="18"/>
                <w:color w:val="auto"/>
              </w:rPr>
            </w:pPr>
          </w:p>
        </w:tc>
        <w:tc>
          <w:tcPr>
            <w:tcW w:w="6660" w:type="dxa"/>
            <w:vAlign w:val="bottom"/>
          </w:tcPr>
          <w:p>
            <w:pPr>
              <w:spacing w:after="0"/>
              <w:rPr>
                <w:sz w:val="20"/>
                <w:szCs w:val="20"/>
                <w:color w:val="auto"/>
              </w:rPr>
            </w:pPr>
            <w:r>
              <w:rPr>
                <w:rFonts w:ascii="Arial" w:cs="Arial" w:eastAsia="Arial" w:hAnsi="Arial"/>
                <w:sz w:val="18"/>
                <w:szCs w:val="18"/>
                <w:color w:val="auto"/>
              </w:rPr>
              <w:t>Net unrealized gain (loss) arising from the period</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(1,380)</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(3,974)</w:t>
            </w: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(5,354)</w:t>
            </w:r>
          </w:p>
        </w:tc>
        <w:tc>
          <w:tcPr>
            <w:tcW w:w="0" w:type="dxa"/>
            <w:vAlign w:val="bottom"/>
          </w:tcPr>
          <w:p>
            <w:pPr>
              <w:spacing w:after="0"/>
              <w:rPr>
                <w:sz w:val="1"/>
                <w:szCs w:val="1"/>
                <w:color w:val="auto"/>
              </w:rPr>
            </w:pPr>
          </w:p>
        </w:tc>
      </w:tr>
      <w:tr>
        <w:trPr>
          <w:trHeight w:val="270"/>
        </w:trPr>
        <w:tc>
          <w:tcPr>
            <w:tcW w:w="500" w:type="dxa"/>
            <w:vAlign w:val="bottom"/>
          </w:tcPr>
          <w:p>
            <w:pPr>
              <w:spacing w:after="0"/>
              <w:rPr>
                <w:sz w:val="23"/>
                <w:szCs w:val="23"/>
                <w:color w:val="auto"/>
              </w:rPr>
            </w:pPr>
          </w:p>
        </w:tc>
        <w:tc>
          <w:tcPr>
            <w:tcW w:w="6660" w:type="dxa"/>
            <w:vAlign w:val="bottom"/>
            <w:shd w:val="clear" w:color="auto" w:fill="CCEEFF"/>
          </w:tcPr>
          <w:p>
            <w:pPr>
              <w:spacing w:after="0" w:line="269" w:lineRule="exact"/>
              <w:rPr>
                <w:sz w:val="20"/>
                <w:szCs w:val="20"/>
                <w:color w:val="auto"/>
              </w:rPr>
            </w:pPr>
            <w:r>
              <w:rPr>
                <w:rFonts w:ascii="Arial" w:cs="Arial" w:eastAsia="Arial" w:hAnsi="Arial"/>
                <w:sz w:val="18"/>
                <w:szCs w:val="18"/>
                <w:color w:val="auto"/>
              </w:rPr>
              <w:t xml:space="preserve">Reclassification adjustment for (gains) loss included in the profit of the period </w:t>
            </w:r>
            <w:r>
              <w:rPr>
                <w:rFonts w:ascii="Arial" w:cs="Arial" w:eastAsia="Arial" w:hAnsi="Arial"/>
                <w:sz w:val="30"/>
                <w:szCs w:val="30"/>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(2,202)</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1,823</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(379)</w:t>
            </w:r>
          </w:p>
        </w:tc>
        <w:tc>
          <w:tcPr>
            <w:tcW w:w="0" w:type="dxa"/>
            <w:vAlign w:val="bottom"/>
          </w:tcPr>
          <w:p>
            <w:pPr>
              <w:spacing w:after="0"/>
              <w:rPr>
                <w:sz w:val="1"/>
                <w:szCs w:val="1"/>
                <w:color w:val="auto"/>
              </w:rPr>
            </w:pPr>
          </w:p>
        </w:tc>
      </w:tr>
      <w:tr>
        <w:trPr>
          <w:trHeight w:val="210"/>
        </w:trPr>
        <w:tc>
          <w:tcPr>
            <w:tcW w:w="500" w:type="dxa"/>
            <w:vAlign w:val="bottom"/>
          </w:tcPr>
          <w:p>
            <w:pPr>
              <w:spacing w:after="0"/>
              <w:rPr>
                <w:sz w:val="18"/>
                <w:szCs w:val="18"/>
                <w:color w:val="auto"/>
              </w:rPr>
            </w:pPr>
          </w:p>
        </w:tc>
        <w:tc>
          <w:tcPr>
            <w:tcW w:w="66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(3,582</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(2,151</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(5,733</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500" w:type="dxa"/>
            <w:vAlign w:val="bottom"/>
          </w:tcPr>
          <w:p>
            <w:pPr>
              <w:spacing w:after="0"/>
              <w:rPr>
                <w:sz w:val="19"/>
                <w:szCs w:val="19"/>
                <w:color w:val="auto"/>
              </w:rPr>
            </w:pPr>
          </w:p>
        </w:tc>
        <w:tc>
          <w:tcPr>
            <w:tcW w:w="66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2015</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(10,399</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(3,171</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(13,570</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500" w:type="dxa"/>
            <w:vAlign w:val="bottom"/>
          </w:tcPr>
          <w:p>
            <w:pPr>
              <w:spacing w:after="0" w:line="20" w:lineRule="exact"/>
              <w:rPr>
                <w:sz w:val="1"/>
                <w:szCs w:val="1"/>
                <w:color w:val="auto"/>
              </w:rPr>
            </w:pPr>
          </w:p>
        </w:tc>
        <w:tc>
          <w:tcPr>
            <w:tcW w:w="66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42" w:lineRule="exact"/>
        <w:rPr>
          <w:sz w:val="20"/>
          <w:szCs w:val="20"/>
          <w:color w:val="auto"/>
        </w:rPr>
      </w:pPr>
    </w:p>
    <w:p>
      <w:pPr>
        <w:ind w:left="660" w:right="240" w:hanging="4"/>
        <w:spacing w:after="0" w:line="211" w:lineRule="auto"/>
        <w:tabs>
          <w:tab w:leader="none" w:pos="880" w:val="left"/>
        </w:tabs>
        <w:numPr>
          <w:ilvl w:val="0"/>
          <w:numId w:val="64"/>
        </w:numPr>
        <w:rPr>
          <w:rFonts w:ascii="Arial" w:cs="Arial" w:eastAsia="Arial" w:hAnsi="Arial"/>
          <w:sz w:val="27"/>
          <w:szCs w:val="27"/>
          <w:color w:val="auto"/>
          <w:vertAlign w:val="superscript"/>
        </w:rPr>
      </w:pPr>
      <w:r>
        <w:rPr>
          <w:rFonts w:ascii="Arial" w:cs="Arial" w:eastAsia="Arial" w:hAnsi="Arial"/>
          <w:sz w:val="17"/>
          <w:szCs w:val="17"/>
          <w:color w:val="auto"/>
        </w:rPr>
        <w:t>Reclassification adjustments include amounts recognized in profit of the period that had been part of other comprehensive income (loss) in this and previous periods.</w:t>
      </w:r>
    </w:p>
    <w:p>
      <w:pPr>
        <w:spacing w:after="0" w:line="20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ind w:left="400"/>
        <w:spacing w:after="0"/>
        <w:rPr>
          <w:sz w:val="20"/>
          <w:szCs w:val="20"/>
          <w:color w:val="auto"/>
        </w:rPr>
      </w:pPr>
      <w:r>
        <w:rPr>
          <w:rFonts w:ascii="Arial" w:cs="Arial" w:eastAsia="Arial" w:hAnsi="Arial"/>
          <w:sz w:val="18"/>
          <w:szCs w:val="18"/>
          <w:b w:val="1"/>
          <w:bCs w:val="1"/>
          <w:color w:val="auto"/>
        </w:rPr>
        <w:t>Three months ended 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gridSpan w:val="2"/>
          </w:tcPr>
          <w:p>
            <w:pPr>
              <w:jc w:val="right"/>
              <w:ind w:right="700"/>
              <w:spacing w:after="0" w:line="191" w:lineRule="exact"/>
              <w:rPr>
                <w:sz w:val="20"/>
                <w:szCs w:val="20"/>
                <w:color w:val="auto"/>
              </w:rPr>
            </w:pPr>
            <w:r>
              <w:rPr>
                <w:rFonts w:ascii="Arial" w:cs="Arial" w:eastAsia="Arial" w:hAnsi="Arial"/>
                <w:sz w:val="18"/>
                <w:szCs w:val="18"/>
                <w:b w:val="1"/>
                <w:bCs w:val="1"/>
                <w:color w:val="auto"/>
              </w:rPr>
              <w:t>Amount reclassified</w:t>
            </w:r>
          </w:p>
        </w:tc>
        <w:tc>
          <w:tcPr>
            <w:tcW w:w="47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360"/>
              <w:spacing w:after="0"/>
              <w:rPr>
                <w:sz w:val="20"/>
                <w:szCs w:val="20"/>
                <w:color w:val="auto"/>
              </w:rPr>
            </w:pPr>
            <w:r>
              <w:rPr>
                <w:rFonts w:ascii="Arial" w:cs="Arial" w:eastAsia="Arial" w:hAnsi="Arial"/>
                <w:sz w:val="18"/>
                <w:szCs w:val="18"/>
                <w:b w:val="1"/>
                <w:bCs w:val="1"/>
                <w:color w:val="auto"/>
              </w:rPr>
              <w:t>Details about accumulated other</w:t>
            </w:r>
          </w:p>
        </w:tc>
        <w:tc>
          <w:tcPr>
            <w:tcW w:w="27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from accumulated other</w:t>
            </w:r>
          </w:p>
        </w:tc>
        <w:tc>
          <w:tcPr>
            <w:tcW w:w="4740" w:type="dxa"/>
            <w:vAlign w:val="bottom"/>
          </w:tcPr>
          <w:p>
            <w:pPr>
              <w:ind w:left="520"/>
              <w:spacing w:after="0"/>
              <w:rPr>
                <w:sz w:val="20"/>
                <w:szCs w:val="20"/>
                <w:color w:val="auto"/>
              </w:rPr>
            </w:pPr>
            <w:r>
              <w:rPr>
                <w:rFonts w:ascii="Arial" w:cs="Arial" w:eastAsia="Arial" w:hAnsi="Arial"/>
                <w:sz w:val="18"/>
                <w:szCs w:val="18"/>
                <w:b w:val="1"/>
                <w:bCs w:val="1"/>
                <w:color w:val="auto"/>
              </w:rPr>
              <w:t>Affected line item in the consolidated statement</w:t>
            </w:r>
          </w:p>
        </w:tc>
        <w:tc>
          <w:tcPr>
            <w:tcW w:w="1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380" w:type="dxa"/>
            <w:vAlign w:val="bottom"/>
            <w:gridSpan w:val="2"/>
          </w:tcPr>
          <w:p>
            <w:pPr>
              <w:ind w:left="260"/>
              <w:spacing w:after="0"/>
              <w:rPr>
                <w:sz w:val="20"/>
                <w:szCs w:val="20"/>
                <w:color w:val="auto"/>
              </w:rPr>
            </w:pPr>
            <w:r>
              <w:rPr>
                <w:rFonts w:ascii="Arial" w:cs="Arial" w:eastAsia="Arial" w:hAnsi="Arial"/>
                <w:sz w:val="18"/>
                <w:szCs w:val="18"/>
                <w:b w:val="1"/>
                <w:bCs w:val="1"/>
                <w:color w:val="auto"/>
                <w:w w:val="99"/>
              </w:rPr>
              <w:t>comprehensive income components</w:t>
            </w:r>
          </w:p>
        </w:tc>
        <w:tc>
          <w:tcPr>
            <w:tcW w:w="27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comprehensive income</w:t>
            </w:r>
          </w:p>
        </w:tc>
        <w:tc>
          <w:tcPr>
            <w:tcW w:w="4740" w:type="dxa"/>
            <w:vAlign w:val="bottom"/>
          </w:tcPr>
          <w:p>
            <w:pPr>
              <w:ind w:left="600"/>
              <w:spacing w:after="0"/>
              <w:rPr>
                <w:sz w:val="20"/>
                <w:szCs w:val="20"/>
                <w:color w:val="auto"/>
              </w:rPr>
            </w:pPr>
            <w:r>
              <w:rPr>
                <w:rFonts w:ascii="Arial" w:cs="Arial" w:eastAsia="Arial" w:hAnsi="Arial"/>
                <w:sz w:val="18"/>
                <w:szCs w:val="18"/>
                <w:b w:val="1"/>
                <w:bCs w:val="1"/>
                <w:color w:val="auto"/>
              </w:rPr>
              <w:t>of profit or loss where net income is presented</w:t>
            </w:r>
          </w:p>
        </w:tc>
        <w:tc>
          <w:tcPr>
            <w:tcW w:w="1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240" w:type="dxa"/>
            <w:vAlign w:val="bottom"/>
            <w:tcBorders>
              <w:top w:val="single" w:sz="8" w:color="auto"/>
            </w:tcBorders>
            <w:shd w:val="clear" w:color="auto" w:fill="CCEEFF"/>
          </w:tcPr>
          <w:p>
            <w:pPr>
              <w:ind w:left="20"/>
              <w:spacing w:after="0" w:line="195" w:lineRule="exact"/>
              <w:rPr>
                <w:sz w:val="20"/>
                <w:szCs w:val="20"/>
                <w:color w:val="auto"/>
              </w:rPr>
            </w:pPr>
            <w:r>
              <w:rPr>
                <w:rFonts w:ascii="Arial" w:cs="Arial" w:eastAsia="Arial" w:hAnsi="Arial"/>
                <w:sz w:val="18"/>
                <w:szCs w:val="18"/>
                <w:color w:val="auto"/>
              </w:rPr>
              <w:t>Realized gains (losses) on financial</w:t>
            </w:r>
          </w:p>
        </w:tc>
        <w:tc>
          <w:tcPr>
            <w:tcW w:w="140" w:type="dxa"/>
            <w:vAlign w:val="bottom"/>
            <w:tcBorders>
              <w:top w:val="single" w:sz="8" w:color="CCEEFF"/>
            </w:tcBorders>
            <w:shd w:val="clear" w:color="auto" w:fill="CCEEFF"/>
          </w:tcPr>
          <w:p>
            <w:pPr>
              <w:spacing w:after="0"/>
              <w:rPr>
                <w:sz w:val="16"/>
                <w:szCs w:val="16"/>
                <w:color w:val="auto"/>
              </w:rPr>
            </w:pPr>
          </w:p>
        </w:tc>
        <w:tc>
          <w:tcPr>
            <w:tcW w:w="24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4740" w:type="dxa"/>
            <w:vAlign w:val="bottom"/>
            <w:tcBorders>
              <w:top w:val="single" w:sz="8" w:color="auto"/>
            </w:tcBorders>
            <w:shd w:val="clear" w:color="auto" w:fill="CCEEFF"/>
          </w:tcPr>
          <w:p>
            <w:pPr>
              <w:spacing w:after="0"/>
              <w:rPr>
                <w:sz w:val="16"/>
                <w:szCs w:val="16"/>
                <w:color w:val="auto"/>
              </w:rPr>
            </w:pPr>
          </w:p>
        </w:tc>
        <w:tc>
          <w:tcPr>
            <w:tcW w:w="1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 at FVOCI:</w:t>
            </w: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financial instruments at FVOCI</w:t>
            </w: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168</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on sale of financial instruments at FVOCI</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2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Derivative financial instruments and hedging</w:t>
            </w:r>
          </w:p>
        </w:tc>
        <w:tc>
          <w:tcPr>
            <w:tcW w:w="100" w:type="dxa"/>
            <w:vAlign w:val="bottom"/>
          </w:tcPr>
          <w:p>
            <w:pPr>
              <w:spacing w:after="0"/>
              <w:rPr>
                <w:sz w:val="19"/>
                <w:szCs w:val="19"/>
                <w:color w:val="auto"/>
              </w:rPr>
            </w:pPr>
          </w:p>
        </w:tc>
      </w:tr>
      <w:tr>
        <w:trPr>
          <w:trHeight w:val="263"/>
        </w:trPr>
        <w:tc>
          <w:tcPr>
            <w:tcW w:w="500" w:type="dxa"/>
            <w:vAlign w:val="bottom"/>
          </w:tcPr>
          <w:p>
            <w:pPr>
              <w:spacing w:after="0"/>
              <w:rPr>
                <w:sz w:val="22"/>
                <w:szCs w:val="22"/>
                <w:color w:val="auto"/>
              </w:rPr>
            </w:pPr>
          </w:p>
        </w:tc>
        <w:tc>
          <w:tcPr>
            <w:tcW w:w="32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353</w:t>
            </w:r>
          </w:p>
        </w:tc>
        <w:tc>
          <w:tcPr>
            <w:tcW w:w="220" w:type="dxa"/>
            <w:vAlign w:val="bottom"/>
            <w:tcBorders>
              <w:bottom w:val="single" w:sz="8" w:color="CCEEFF"/>
            </w:tcBorders>
          </w:tcPr>
          <w:p>
            <w:pPr>
              <w:spacing w:after="0"/>
              <w:rPr>
                <w:sz w:val="22"/>
                <w:szCs w:val="22"/>
                <w:color w:val="auto"/>
              </w:rPr>
            </w:pPr>
          </w:p>
        </w:tc>
        <w:tc>
          <w:tcPr>
            <w:tcW w:w="4740" w:type="dxa"/>
            <w:vAlign w:val="bottom"/>
            <w:tcBorders>
              <w:bottom w:val="single" w:sz="8" w:color="CCEEFF"/>
            </w:tcBorders>
          </w:tcPr>
          <w:p>
            <w:pPr>
              <w:spacing w:after="0"/>
              <w:rPr>
                <w:sz w:val="22"/>
                <w:szCs w:val="22"/>
                <w:color w:val="auto"/>
              </w:rPr>
            </w:pPr>
          </w:p>
        </w:tc>
        <w:tc>
          <w:tcPr>
            <w:tcW w:w="100" w:type="dxa"/>
            <w:vAlign w:val="bottom"/>
          </w:tcPr>
          <w:p>
            <w:pPr>
              <w:spacing w:after="0"/>
              <w:rPr>
                <w:sz w:val="22"/>
                <w:szCs w:val="22"/>
                <w:color w:val="auto"/>
              </w:rPr>
            </w:pPr>
          </w:p>
        </w:tc>
      </w:tr>
      <w:tr>
        <w:trPr>
          <w:trHeight w:val="197"/>
        </w:trPr>
        <w:tc>
          <w:tcPr>
            <w:tcW w:w="500" w:type="dxa"/>
            <w:vAlign w:val="bottom"/>
          </w:tcPr>
          <w:p>
            <w:pPr>
              <w:spacing w:after="0"/>
              <w:rPr>
                <w:sz w:val="17"/>
                <w:szCs w:val="17"/>
                <w:color w:val="auto"/>
              </w:rPr>
            </w:pPr>
          </w:p>
        </w:tc>
        <w:tc>
          <w:tcPr>
            <w:tcW w:w="32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740" w:type="dxa"/>
            <w:vAlign w:val="bottom"/>
            <w:shd w:val="clear" w:color="auto" w:fill="CCEEFF"/>
          </w:tcPr>
          <w:p>
            <w:pPr>
              <w:spacing w:after="0"/>
              <w:rPr>
                <w:sz w:val="17"/>
                <w:szCs w:val="17"/>
                <w:color w:val="auto"/>
              </w:rPr>
            </w:pPr>
          </w:p>
        </w:tc>
        <w:tc>
          <w:tcPr>
            <w:tcW w:w="100" w:type="dxa"/>
            <w:vAlign w:val="bottom"/>
          </w:tcPr>
          <w:p>
            <w:pPr>
              <w:spacing w:after="0"/>
              <w:rPr>
                <w:sz w:val="17"/>
                <w:szCs w:val="17"/>
                <w:color w:val="auto"/>
              </w:rPr>
            </w:pPr>
          </w:p>
        </w:tc>
      </w:tr>
      <w:tr>
        <w:trPr>
          <w:trHeight w:val="202"/>
        </w:trPr>
        <w:tc>
          <w:tcPr>
            <w:tcW w:w="500" w:type="dxa"/>
            <w:vAlign w:val="bottom"/>
          </w:tcPr>
          <w:p>
            <w:pPr>
              <w:spacing w:after="0"/>
              <w:rPr>
                <w:sz w:val="17"/>
                <w:szCs w:val="17"/>
                <w:color w:val="auto"/>
              </w:rPr>
            </w:pPr>
          </w:p>
        </w:tc>
        <w:tc>
          <w:tcPr>
            <w:tcW w:w="3380" w:type="dxa"/>
            <w:vAlign w:val="bottom"/>
            <w:gridSpan w:val="2"/>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7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tcPr>
          <w:p>
            <w:pPr>
              <w:ind w:left="60"/>
              <w:spacing w:after="0"/>
              <w:rPr>
                <w:sz w:val="20"/>
                <w:szCs w:val="20"/>
                <w:color w:val="auto"/>
              </w:rPr>
            </w:pPr>
            <w:r>
              <w:rPr>
                <w:rFonts w:ascii="Arial" w:cs="Arial" w:eastAsia="Arial" w:hAnsi="Arial"/>
                <w:sz w:val="18"/>
                <w:szCs w:val="18"/>
                <w:color w:val="auto"/>
              </w:rPr>
              <w:t>instruments:</w:t>
            </w:r>
          </w:p>
        </w:tc>
        <w:tc>
          <w:tcPr>
            <w:tcW w:w="2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Foreign exchange forward</w:t>
            </w:r>
          </w:p>
        </w:tc>
        <w:tc>
          <w:tcPr>
            <w:tcW w:w="2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(1,414)</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loans at amortized cost</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470</w:t>
            </w:r>
          </w:p>
        </w:tc>
        <w:tc>
          <w:tcPr>
            <w:tcW w:w="4740" w:type="dxa"/>
            <w:vAlign w:val="bottom"/>
          </w:tcPr>
          <w:p>
            <w:pPr>
              <w:ind w:left="60"/>
              <w:spacing w:after="0"/>
              <w:rPr>
                <w:sz w:val="20"/>
                <w:szCs w:val="20"/>
                <w:color w:val="auto"/>
              </w:rPr>
            </w:pPr>
            <w:r>
              <w:rPr>
                <w:rFonts w:ascii="Arial" w:cs="Arial" w:eastAsia="Arial" w:hAnsi="Arial"/>
                <w:sz w:val="18"/>
                <w:szCs w:val="18"/>
                <w:color w:val="auto"/>
              </w:rPr>
              <w:t>Interest expense – borrowings and deposits</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2,528</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foreign currency exchange</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20"/>
              <w:spacing w:after="0"/>
              <w:rPr>
                <w:sz w:val="20"/>
                <w:szCs w:val="20"/>
                <w:color w:val="auto"/>
              </w:rPr>
            </w:pPr>
            <w:r>
              <w:rPr>
                <w:rFonts w:ascii="Arial" w:cs="Arial" w:eastAsia="Arial" w:hAnsi="Arial"/>
                <w:sz w:val="18"/>
                <w:szCs w:val="18"/>
                <w:color w:val="auto"/>
              </w:rPr>
              <w:t>Interest rate swaps</w:t>
            </w: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264</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(loss) on interest rate swaps</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Cross-currency interest rate swap</w:t>
            </w: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421</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cross-currency interest rate swap</w:t>
            </w:r>
          </w:p>
        </w:tc>
        <w:tc>
          <w:tcPr>
            <w:tcW w:w="1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2,269</w:t>
            </w:r>
          </w:p>
        </w:tc>
        <w:tc>
          <w:tcPr>
            <w:tcW w:w="220" w:type="dxa"/>
            <w:vAlign w:val="bottom"/>
          </w:tcPr>
          <w:p>
            <w:pPr>
              <w:spacing w:after="0"/>
              <w:rPr>
                <w:sz w:val="19"/>
                <w:szCs w:val="19"/>
                <w:color w:val="auto"/>
              </w:rPr>
            </w:pPr>
          </w:p>
        </w:tc>
        <w:tc>
          <w:tcPr>
            <w:tcW w:w="47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3"/>
        </w:trPr>
        <w:tc>
          <w:tcPr>
            <w:tcW w:w="50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color w:val="auto"/>
              </w:rPr>
              <w:t>56</w:t>
            </w:r>
          </w:p>
        </w:tc>
        <w:tc>
          <w:tcPr>
            <w:tcW w:w="22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8" w:name="page59"/>
    <w:bookmarkEnd w:id="58"/>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5" w:lineRule="exact"/>
        <w:rPr>
          <w:sz w:val="20"/>
          <w:szCs w:val="20"/>
          <w:color w:val="auto"/>
        </w:rPr>
      </w:pPr>
    </w:p>
    <w:p>
      <w:pPr>
        <w:jc w:val="center"/>
        <w:ind w:left="400"/>
        <w:spacing w:after="0"/>
        <w:rPr>
          <w:sz w:val="20"/>
          <w:szCs w:val="20"/>
          <w:color w:val="auto"/>
        </w:rPr>
      </w:pPr>
      <w:r>
        <w:rPr>
          <w:rFonts w:ascii="Arial" w:cs="Arial" w:eastAsia="Arial" w:hAnsi="Arial"/>
          <w:sz w:val="18"/>
          <w:szCs w:val="18"/>
          <w:b w:val="1"/>
          <w:bCs w:val="1"/>
          <w:color w:val="auto"/>
        </w:rPr>
        <w:t>Nine months ended September 30, 2016</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gridSpan w:val="2"/>
          </w:tcPr>
          <w:p>
            <w:pPr>
              <w:jc w:val="right"/>
              <w:ind w:right="640"/>
              <w:spacing w:after="0" w:line="191" w:lineRule="exact"/>
              <w:rPr>
                <w:sz w:val="20"/>
                <w:szCs w:val="20"/>
                <w:color w:val="auto"/>
              </w:rPr>
            </w:pPr>
            <w:r>
              <w:rPr>
                <w:rFonts w:ascii="Arial" w:cs="Arial" w:eastAsia="Arial" w:hAnsi="Arial"/>
                <w:sz w:val="18"/>
                <w:szCs w:val="18"/>
                <w:b w:val="1"/>
                <w:bCs w:val="1"/>
                <w:color w:val="auto"/>
              </w:rPr>
              <w:t>Amount reclassified</w:t>
            </w:r>
          </w:p>
        </w:tc>
        <w:tc>
          <w:tcPr>
            <w:tcW w:w="47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360"/>
              <w:spacing w:after="0"/>
              <w:rPr>
                <w:sz w:val="20"/>
                <w:szCs w:val="20"/>
                <w:color w:val="auto"/>
              </w:rPr>
            </w:pPr>
            <w:r>
              <w:rPr>
                <w:rFonts w:ascii="Arial" w:cs="Arial" w:eastAsia="Arial" w:hAnsi="Arial"/>
                <w:sz w:val="18"/>
                <w:szCs w:val="18"/>
                <w:b w:val="1"/>
                <w:bCs w:val="1"/>
                <w:color w:val="auto"/>
              </w:rPr>
              <w:t>Details about accumulated other</w:t>
            </w:r>
          </w:p>
        </w:tc>
        <w:tc>
          <w:tcPr>
            <w:tcW w:w="27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from accumulated other</w:t>
            </w:r>
          </w:p>
        </w:tc>
        <w:tc>
          <w:tcPr>
            <w:tcW w:w="4740" w:type="dxa"/>
            <w:vAlign w:val="bottom"/>
          </w:tcPr>
          <w:p>
            <w:pPr>
              <w:ind w:left="520"/>
              <w:spacing w:after="0"/>
              <w:rPr>
                <w:sz w:val="20"/>
                <w:szCs w:val="20"/>
                <w:color w:val="auto"/>
              </w:rPr>
            </w:pPr>
            <w:r>
              <w:rPr>
                <w:rFonts w:ascii="Arial" w:cs="Arial" w:eastAsia="Arial" w:hAnsi="Arial"/>
                <w:sz w:val="18"/>
                <w:szCs w:val="18"/>
                <w:b w:val="1"/>
                <w:bCs w:val="1"/>
                <w:color w:val="auto"/>
              </w:rPr>
              <w:t>Affected line item in the consolidated statement</w:t>
            </w:r>
          </w:p>
        </w:tc>
        <w:tc>
          <w:tcPr>
            <w:tcW w:w="1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380" w:type="dxa"/>
            <w:vAlign w:val="bottom"/>
            <w:gridSpan w:val="2"/>
          </w:tcPr>
          <w:p>
            <w:pPr>
              <w:ind w:left="260"/>
              <w:spacing w:after="0"/>
              <w:rPr>
                <w:sz w:val="20"/>
                <w:szCs w:val="20"/>
                <w:color w:val="auto"/>
              </w:rPr>
            </w:pPr>
            <w:r>
              <w:rPr>
                <w:rFonts w:ascii="Arial" w:cs="Arial" w:eastAsia="Arial" w:hAnsi="Arial"/>
                <w:sz w:val="18"/>
                <w:szCs w:val="18"/>
                <w:b w:val="1"/>
                <w:bCs w:val="1"/>
                <w:color w:val="auto"/>
                <w:w w:val="99"/>
              </w:rPr>
              <w:t>comprehensive income components</w:t>
            </w:r>
          </w:p>
        </w:tc>
        <w:tc>
          <w:tcPr>
            <w:tcW w:w="27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comprehensive income</w:t>
            </w:r>
          </w:p>
        </w:tc>
        <w:tc>
          <w:tcPr>
            <w:tcW w:w="4740" w:type="dxa"/>
            <w:vAlign w:val="bottom"/>
          </w:tcPr>
          <w:p>
            <w:pPr>
              <w:ind w:left="600"/>
              <w:spacing w:after="0"/>
              <w:rPr>
                <w:sz w:val="20"/>
                <w:szCs w:val="20"/>
                <w:color w:val="auto"/>
              </w:rPr>
            </w:pPr>
            <w:r>
              <w:rPr>
                <w:rFonts w:ascii="Arial" w:cs="Arial" w:eastAsia="Arial" w:hAnsi="Arial"/>
                <w:sz w:val="18"/>
                <w:szCs w:val="18"/>
                <w:b w:val="1"/>
                <w:bCs w:val="1"/>
                <w:color w:val="auto"/>
              </w:rPr>
              <w:t>of profit or loss where net income is presented</w:t>
            </w:r>
          </w:p>
        </w:tc>
        <w:tc>
          <w:tcPr>
            <w:tcW w:w="1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240" w:type="dxa"/>
            <w:vAlign w:val="bottom"/>
            <w:tcBorders>
              <w:top w:val="single" w:sz="8" w:color="auto"/>
            </w:tcBorders>
            <w:shd w:val="clear" w:color="auto" w:fill="CCEEFF"/>
          </w:tcPr>
          <w:p>
            <w:pPr>
              <w:ind w:left="20"/>
              <w:spacing w:after="0" w:line="195" w:lineRule="exact"/>
              <w:rPr>
                <w:sz w:val="20"/>
                <w:szCs w:val="20"/>
                <w:color w:val="auto"/>
              </w:rPr>
            </w:pPr>
            <w:r>
              <w:rPr>
                <w:rFonts w:ascii="Arial" w:cs="Arial" w:eastAsia="Arial" w:hAnsi="Arial"/>
                <w:sz w:val="18"/>
                <w:szCs w:val="18"/>
                <w:color w:val="auto"/>
              </w:rPr>
              <w:t>Realized gains (losses) on financial</w:t>
            </w:r>
          </w:p>
        </w:tc>
        <w:tc>
          <w:tcPr>
            <w:tcW w:w="140" w:type="dxa"/>
            <w:vAlign w:val="bottom"/>
            <w:tcBorders>
              <w:top w:val="single" w:sz="8" w:color="CCEEFF"/>
            </w:tcBorders>
            <w:shd w:val="clear" w:color="auto" w:fill="CCEEFF"/>
          </w:tcPr>
          <w:p>
            <w:pPr>
              <w:spacing w:after="0"/>
              <w:rPr>
                <w:sz w:val="16"/>
                <w:szCs w:val="16"/>
                <w:color w:val="auto"/>
              </w:rPr>
            </w:pPr>
          </w:p>
        </w:tc>
        <w:tc>
          <w:tcPr>
            <w:tcW w:w="24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4740" w:type="dxa"/>
            <w:vAlign w:val="bottom"/>
            <w:tcBorders>
              <w:top w:val="single" w:sz="8" w:color="auto"/>
            </w:tcBorders>
            <w:shd w:val="clear" w:color="auto" w:fill="CCEEFF"/>
          </w:tcPr>
          <w:p>
            <w:pPr>
              <w:spacing w:after="0"/>
              <w:rPr>
                <w:sz w:val="16"/>
                <w:szCs w:val="16"/>
                <w:color w:val="auto"/>
              </w:rPr>
            </w:pPr>
          </w:p>
        </w:tc>
        <w:tc>
          <w:tcPr>
            <w:tcW w:w="1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 at FVOCI:</w:t>
            </w:r>
          </w:p>
        </w:tc>
        <w:tc>
          <w:tcPr>
            <w:tcW w:w="2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financial instruments at FVOCI</w:t>
            </w: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80"/>
              <w:spacing w:after="0"/>
              <w:rPr>
                <w:sz w:val="20"/>
                <w:szCs w:val="20"/>
                <w:color w:val="auto"/>
              </w:rPr>
            </w:pPr>
            <w:r>
              <w:rPr>
                <w:rFonts w:ascii="Arial" w:cs="Arial" w:eastAsia="Arial" w:hAnsi="Arial"/>
                <w:sz w:val="18"/>
                <w:szCs w:val="18"/>
                <w:color w:val="auto"/>
              </w:rPr>
              <w:t>(800)</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on sale of financial instruments at FVOCI</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2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(518)</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Derivative financial instruments and hedging</w:t>
            </w:r>
          </w:p>
        </w:tc>
        <w:tc>
          <w:tcPr>
            <w:tcW w:w="100" w:type="dxa"/>
            <w:vAlign w:val="bottom"/>
          </w:tcPr>
          <w:p>
            <w:pPr>
              <w:spacing w:after="0"/>
              <w:rPr>
                <w:sz w:val="19"/>
                <w:szCs w:val="19"/>
                <w:color w:val="auto"/>
              </w:rPr>
            </w:pPr>
          </w:p>
        </w:tc>
      </w:tr>
      <w:tr>
        <w:trPr>
          <w:trHeight w:val="263"/>
        </w:trPr>
        <w:tc>
          <w:tcPr>
            <w:tcW w:w="500" w:type="dxa"/>
            <w:vAlign w:val="bottom"/>
          </w:tcPr>
          <w:p>
            <w:pPr>
              <w:spacing w:after="0"/>
              <w:rPr>
                <w:sz w:val="22"/>
                <w:szCs w:val="22"/>
                <w:color w:val="auto"/>
              </w:rPr>
            </w:pPr>
          </w:p>
        </w:tc>
        <w:tc>
          <w:tcPr>
            <w:tcW w:w="32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4740" w:type="dxa"/>
            <w:vAlign w:val="bottom"/>
            <w:tcBorders>
              <w:bottom w:val="single" w:sz="8" w:color="CCEEFF"/>
            </w:tcBorders>
          </w:tcPr>
          <w:p>
            <w:pPr>
              <w:spacing w:after="0"/>
              <w:rPr>
                <w:sz w:val="22"/>
                <w:szCs w:val="22"/>
                <w:color w:val="auto"/>
              </w:rPr>
            </w:pPr>
          </w:p>
        </w:tc>
        <w:tc>
          <w:tcPr>
            <w:tcW w:w="100" w:type="dxa"/>
            <w:vAlign w:val="bottom"/>
          </w:tcPr>
          <w:p>
            <w:pPr>
              <w:spacing w:after="0"/>
              <w:rPr>
                <w:sz w:val="22"/>
                <w:szCs w:val="22"/>
                <w:color w:val="auto"/>
              </w:rPr>
            </w:pPr>
          </w:p>
        </w:tc>
      </w:tr>
      <w:tr>
        <w:trPr>
          <w:trHeight w:val="197"/>
        </w:trPr>
        <w:tc>
          <w:tcPr>
            <w:tcW w:w="500" w:type="dxa"/>
            <w:vAlign w:val="bottom"/>
          </w:tcPr>
          <w:p>
            <w:pPr>
              <w:spacing w:after="0"/>
              <w:rPr>
                <w:sz w:val="17"/>
                <w:szCs w:val="17"/>
                <w:color w:val="auto"/>
              </w:rPr>
            </w:pPr>
          </w:p>
        </w:tc>
        <w:tc>
          <w:tcPr>
            <w:tcW w:w="32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740" w:type="dxa"/>
            <w:vAlign w:val="bottom"/>
            <w:shd w:val="clear" w:color="auto" w:fill="CCEEFF"/>
          </w:tcPr>
          <w:p>
            <w:pPr>
              <w:spacing w:after="0"/>
              <w:rPr>
                <w:sz w:val="17"/>
                <w:szCs w:val="17"/>
                <w:color w:val="auto"/>
              </w:rPr>
            </w:pPr>
          </w:p>
        </w:tc>
        <w:tc>
          <w:tcPr>
            <w:tcW w:w="100" w:type="dxa"/>
            <w:vAlign w:val="bottom"/>
          </w:tcPr>
          <w:p>
            <w:pPr>
              <w:spacing w:after="0"/>
              <w:rPr>
                <w:sz w:val="17"/>
                <w:szCs w:val="17"/>
                <w:color w:val="auto"/>
              </w:rPr>
            </w:pPr>
          </w:p>
        </w:tc>
      </w:tr>
      <w:tr>
        <w:trPr>
          <w:trHeight w:val="202"/>
        </w:trPr>
        <w:tc>
          <w:tcPr>
            <w:tcW w:w="500" w:type="dxa"/>
            <w:vAlign w:val="bottom"/>
          </w:tcPr>
          <w:p>
            <w:pPr>
              <w:spacing w:after="0"/>
              <w:rPr>
                <w:sz w:val="17"/>
                <w:szCs w:val="17"/>
                <w:color w:val="auto"/>
              </w:rPr>
            </w:pPr>
          </w:p>
        </w:tc>
        <w:tc>
          <w:tcPr>
            <w:tcW w:w="3380" w:type="dxa"/>
            <w:vAlign w:val="bottom"/>
            <w:gridSpan w:val="2"/>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7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tcPr>
          <w:p>
            <w:pPr>
              <w:ind w:left="60"/>
              <w:spacing w:after="0"/>
              <w:rPr>
                <w:sz w:val="20"/>
                <w:szCs w:val="20"/>
                <w:color w:val="auto"/>
              </w:rPr>
            </w:pPr>
            <w:r>
              <w:rPr>
                <w:rFonts w:ascii="Arial" w:cs="Arial" w:eastAsia="Arial" w:hAnsi="Arial"/>
                <w:sz w:val="18"/>
                <w:szCs w:val="18"/>
                <w:color w:val="auto"/>
              </w:rPr>
              <w:t>instruments:</w:t>
            </w:r>
          </w:p>
        </w:tc>
        <w:tc>
          <w:tcPr>
            <w:tcW w:w="2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Foreign exchange forward</w:t>
            </w: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(3,168)</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loans at amortized cost</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140"/>
              <w:spacing w:after="0"/>
              <w:rPr>
                <w:sz w:val="20"/>
                <w:szCs w:val="20"/>
                <w:color w:val="auto"/>
              </w:rPr>
            </w:pPr>
            <w:r>
              <w:rPr>
                <w:rFonts w:ascii="Arial" w:cs="Arial" w:eastAsia="Arial" w:hAnsi="Arial"/>
                <w:sz w:val="18"/>
                <w:szCs w:val="18"/>
                <w:color w:val="auto"/>
              </w:rPr>
              <w:t>878</w:t>
            </w:r>
          </w:p>
        </w:tc>
        <w:tc>
          <w:tcPr>
            <w:tcW w:w="4740" w:type="dxa"/>
            <w:vAlign w:val="bottom"/>
          </w:tcPr>
          <w:p>
            <w:pPr>
              <w:ind w:left="60"/>
              <w:spacing w:after="0"/>
              <w:rPr>
                <w:sz w:val="20"/>
                <w:szCs w:val="20"/>
                <w:color w:val="auto"/>
              </w:rPr>
            </w:pPr>
            <w:r>
              <w:rPr>
                <w:rFonts w:ascii="Arial" w:cs="Arial" w:eastAsia="Arial" w:hAnsi="Arial"/>
                <w:sz w:val="18"/>
                <w:szCs w:val="18"/>
                <w:color w:val="auto"/>
              </w:rPr>
              <w:t>Interest expense - borrowings</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5,023</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foreign currency exchange</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20"/>
              <w:spacing w:after="0"/>
              <w:rPr>
                <w:sz w:val="20"/>
                <w:szCs w:val="20"/>
                <w:color w:val="auto"/>
              </w:rPr>
            </w:pPr>
            <w:r>
              <w:rPr>
                <w:rFonts w:ascii="Arial" w:cs="Arial" w:eastAsia="Arial" w:hAnsi="Arial"/>
                <w:sz w:val="18"/>
                <w:szCs w:val="18"/>
                <w:color w:val="auto"/>
              </w:rPr>
              <w:t>Interest rate swaps</w:t>
            </w:r>
          </w:p>
        </w:tc>
        <w:tc>
          <w:tcPr>
            <w:tcW w:w="2700" w:type="dxa"/>
            <w:vAlign w:val="bottom"/>
            <w:gridSpan w:val="2"/>
          </w:tcPr>
          <w:p>
            <w:pPr>
              <w:jc w:val="right"/>
              <w:ind w:right="140"/>
              <w:spacing w:after="0"/>
              <w:rPr>
                <w:sz w:val="20"/>
                <w:szCs w:val="20"/>
                <w:color w:val="auto"/>
              </w:rPr>
            </w:pPr>
            <w:r>
              <w:rPr>
                <w:rFonts w:ascii="Arial" w:cs="Arial" w:eastAsia="Arial" w:hAnsi="Arial"/>
                <w:sz w:val="18"/>
                <w:szCs w:val="18"/>
                <w:color w:val="auto"/>
              </w:rPr>
              <w:t>870</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(loss) on interest rate swaps</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Cross-currency interest rate swap</w:t>
            </w:r>
          </w:p>
        </w:tc>
        <w:tc>
          <w:tcPr>
            <w:tcW w:w="2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488</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cross-currency swaps</w:t>
            </w:r>
          </w:p>
        </w:tc>
        <w:tc>
          <w:tcPr>
            <w:tcW w:w="1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4,091</w:t>
            </w:r>
          </w:p>
        </w:tc>
        <w:tc>
          <w:tcPr>
            <w:tcW w:w="220" w:type="dxa"/>
            <w:vAlign w:val="bottom"/>
          </w:tcPr>
          <w:p>
            <w:pPr>
              <w:spacing w:after="0"/>
              <w:rPr>
                <w:sz w:val="19"/>
                <w:szCs w:val="19"/>
                <w:color w:val="auto"/>
              </w:rPr>
            </w:pPr>
          </w:p>
        </w:tc>
        <w:tc>
          <w:tcPr>
            <w:tcW w:w="47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color w:val="auto"/>
              </w:rPr>
              <w:t>57</w:t>
            </w:r>
          </w:p>
        </w:tc>
        <w:tc>
          <w:tcPr>
            <w:tcW w:w="22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59" w:name="page60"/>
    <w:bookmarkEnd w:id="5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profit of the period:</w:t>
      </w:r>
    </w:p>
    <w:p>
      <w:pPr>
        <w:spacing w:after="0" w:line="221" w:lineRule="exact"/>
        <w:rPr>
          <w:sz w:val="20"/>
          <w:szCs w:val="20"/>
          <w:color w:val="auto"/>
        </w:rPr>
      </w:pPr>
    </w:p>
    <w:p>
      <w:pPr>
        <w:jc w:val="center"/>
        <w:ind w:left="400"/>
        <w:spacing w:after="0"/>
        <w:rPr>
          <w:sz w:val="20"/>
          <w:szCs w:val="20"/>
          <w:color w:val="auto"/>
        </w:rPr>
      </w:pPr>
      <w:r>
        <w:rPr>
          <w:rFonts w:ascii="Arial" w:cs="Arial" w:eastAsia="Arial" w:hAnsi="Arial"/>
          <w:sz w:val="18"/>
          <w:szCs w:val="18"/>
          <w:b w:val="1"/>
          <w:bCs w:val="1"/>
          <w:color w:val="auto"/>
        </w:rPr>
        <w:t>Three months ended September 30, 2015</w:t>
      </w:r>
    </w:p>
    <w:p>
      <w:pPr>
        <w:spacing w:after="0" w:line="27" w:lineRule="exact"/>
        <w:rPr>
          <w:sz w:val="20"/>
          <w:szCs w:val="20"/>
          <w:color w:val="auto"/>
        </w:rPr>
      </w:pPr>
    </w:p>
    <w:tbl>
      <w:tblPr>
        <w:tblLayout w:type="fixed"/>
        <w:tblInd w:w="500" w:type="dxa"/>
        <w:tblCellMar>
          <w:top w:w="0" w:type="dxa"/>
          <w:left w:w="0" w:type="dxa"/>
          <w:bottom w:w="0" w:type="dxa"/>
          <w:right w:w="0" w:type="dxa"/>
        </w:tblCellMar>
      </w:tblPr>
      <w:tr>
        <w:trPr>
          <w:trHeight w:val="191"/>
        </w:trPr>
        <w:tc>
          <w:tcPr>
            <w:tcW w:w="32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9"/>
              </w:rPr>
              <w:t>Amount reclassified</w:t>
            </w:r>
          </w:p>
        </w:tc>
        <w:tc>
          <w:tcPr>
            <w:tcW w:w="4740" w:type="dxa"/>
            <w:vAlign w:val="bottom"/>
            <w:tcBorders>
              <w:top w:val="single" w:sz="8" w:color="auto"/>
            </w:tcBorders>
          </w:tcPr>
          <w:p>
            <w:pPr>
              <w:spacing w:after="0"/>
              <w:rPr>
                <w:sz w:val="16"/>
                <w:szCs w:val="16"/>
                <w:color w:val="auto"/>
              </w:rPr>
            </w:pPr>
          </w:p>
        </w:tc>
      </w:tr>
      <w:tr>
        <w:trPr>
          <w:trHeight w:val="216"/>
        </w:trPr>
        <w:tc>
          <w:tcPr>
            <w:tcW w:w="3380" w:type="dxa"/>
            <w:vAlign w:val="bottom"/>
            <w:gridSpan w:val="2"/>
          </w:tcPr>
          <w:p>
            <w:pPr>
              <w:ind w:left="380"/>
              <w:spacing w:after="0"/>
              <w:rPr>
                <w:sz w:val="20"/>
                <w:szCs w:val="20"/>
                <w:color w:val="auto"/>
              </w:rPr>
            </w:pPr>
            <w:r>
              <w:rPr>
                <w:rFonts w:ascii="Arial" w:cs="Arial" w:eastAsia="Arial" w:hAnsi="Arial"/>
                <w:sz w:val="18"/>
                <w:szCs w:val="18"/>
                <w:b w:val="1"/>
                <w:bCs w:val="1"/>
                <w:color w:val="auto"/>
              </w:rPr>
              <w:t>Details about accumulated other</w:t>
            </w:r>
          </w:p>
        </w:tc>
        <w:tc>
          <w:tcPr>
            <w:tcW w:w="27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from accumulated other</w:t>
            </w:r>
          </w:p>
        </w:tc>
        <w:tc>
          <w:tcPr>
            <w:tcW w:w="4740" w:type="dxa"/>
            <w:vAlign w:val="bottom"/>
          </w:tcPr>
          <w:p>
            <w:pPr>
              <w:ind w:left="540"/>
              <w:spacing w:after="0"/>
              <w:rPr>
                <w:sz w:val="20"/>
                <w:szCs w:val="20"/>
                <w:color w:val="auto"/>
              </w:rPr>
            </w:pPr>
            <w:r>
              <w:rPr>
                <w:rFonts w:ascii="Arial" w:cs="Arial" w:eastAsia="Arial" w:hAnsi="Arial"/>
                <w:sz w:val="18"/>
                <w:szCs w:val="18"/>
                <w:b w:val="1"/>
                <w:bCs w:val="1"/>
                <w:color w:val="auto"/>
              </w:rPr>
              <w:t>Affected line item in the consolidated statement</w:t>
            </w:r>
          </w:p>
        </w:tc>
      </w:tr>
      <w:tr>
        <w:trPr>
          <w:trHeight w:val="234"/>
        </w:trPr>
        <w:tc>
          <w:tcPr>
            <w:tcW w:w="3380" w:type="dxa"/>
            <w:vAlign w:val="bottom"/>
            <w:gridSpan w:val="2"/>
          </w:tcPr>
          <w:p>
            <w:pPr>
              <w:ind w:left="260"/>
              <w:spacing w:after="0"/>
              <w:rPr>
                <w:sz w:val="20"/>
                <w:szCs w:val="20"/>
                <w:color w:val="auto"/>
              </w:rPr>
            </w:pPr>
            <w:r>
              <w:rPr>
                <w:rFonts w:ascii="Arial" w:cs="Arial" w:eastAsia="Arial" w:hAnsi="Arial"/>
                <w:sz w:val="18"/>
                <w:szCs w:val="18"/>
                <w:b w:val="1"/>
                <w:bCs w:val="1"/>
                <w:color w:val="auto"/>
                <w:w w:val="99"/>
              </w:rPr>
              <w:t>comprehensive income components</w:t>
            </w:r>
          </w:p>
        </w:tc>
        <w:tc>
          <w:tcPr>
            <w:tcW w:w="27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comprehensive income</w:t>
            </w:r>
          </w:p>
        </w:tc>
        <w:tc>
          <w:tcPr>
            <w:tcW w:w="4740" w:type="dxa"/>
            <w:vAlign w:val="bottom"/>
          </w:tcPr>
          <w:p>
            <w:pPr>
              <w:ind w:left="600"/>
              <w:spacing w:after="0"/>
              <w:rPr>
                <w:sz w:val="20"/>
                <w:szCs w:val="20"/>
                <w:color w:val="auto"/>
              </w:rPr>
            </w:pPr>
            <w:r>
              <w:rPr>
                <w:rFonts w:ascii="Arial" w:cs="Arial" w:eastAsia="Arial" w:hAnsi="Arial"/>
                <w:sz w:val="18"/>
                <w:szCs w:val="18"/>
                <w:b w:val="1"/>
                <w:bCs w:val="1"/>
                <w:color w:val="auto"/>
              </w:rPr>
              <w:t>of profit or loss where net income is presented</w:t>
            </w:r>
          </w:p>
        </w:tc>
      </w:tr>
      <w:tr>
        <w:trPr>
          <w:trHeight w:val="195"/>
        </w:trPr>
        <w:tc>
          <w:tcPr>
            <w:tcW w:w="3240" w:type="dxa"/>
            <w:vAlign w:val="bottom"/>
            <w:tcBorders>
              <w:top w:val="single" w:sz="8" w:color="auto"/>
            </w:tcBorders>
            <w:shd w:val="clear" w:color="auto" w:fill="CCEEFF"/>
          </w:tcPr>
          <w:p>
            <w:pPr>
              <w:ind w:left="20"/>
              <w:spacing w:after="0" w:line="195" w:lineRule="exact"/>
              <w:rPr>
                <w:sz w:val="20"/>
                <w:szCs w:val="20"/>
                <w:color w:val="auto"/>
              </w:rPr>
            </w:pPr>
            <w:r>
              <w:rPr>
                <w:rFonts w:ascii="Arial" w:cs="Arial" w:eastAsia="Arial" w:hAnsi="Arial"/>
                <w:sz w:val="18"/>
                <w:szCs w:val="18"/>
                <w:color w:val="auto"/>
              </w:rPr>
              <w:t>Realized gains (losses) on financial</w:t>
            </w:r>
          </w:p>
        </w:tc>
        <w:tc>
          <w:tcPr>
            <w:tcW w:w="140" w:type="dxa"/>
            <w:vAlign w:val="bottom"/>
            <w:tcBorders>
              <w:top w:val="single" w:sz="8" w:color="CCEEFF"/>
            </w:tcBorders>
            <w:shd w:val="clear" w:color="auto" w:fill="CCEEFF"/>
          </w:tcPr>
          <w:p>
            <w:pPr>
              <w:spacing w:after="0"/>
              <w:rPr>
                <w:sz w:val="16"/>
                <w:szCs w:val="16"/>
                <w:color w:val="auto"/>
              </w:rPr>
            </w:pPr>
          </w:p>
        </w:tc>
        <w:tc>
          <w:tcPr>
            <w:tcW w:w="24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4740" w:type="dxa"/>
            <w:vAlign w:val="bottom"/>
            <w:tcBorders>
              <w:top w:val="single" w:sz="8" w:color="auto"/>
            </w:tcBorders>
            <w:shd w:val="clear" w:color="auto" w:fill="CCEEFF"/>
          </w:tcPr>
          <w:p>
            <w:pPr>
              <w:spacing w:after="0"/>
              <w:rPr>
                <w:sz w:val="16"/>
                <w:szCs w:val="16"/>
                <w:color w:val="auto"/>
              </w:rPr>
            </w:pPr>
          </w:p>
        </w:tc>
      </w:tr>
      <w:tr>
        <w:trPr>
          <w:trHeight w:val="230"/>
        </w:trPr>
        <w:tc>
          <w:tcPr>
            <w:tcW w:w="33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 at FVOCI:</w:t>
            </w:r>
          </w:p>
        </w:tc>
        <w:tc>
          <w:tcPr>
            <w:tcW w:w="2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(235)</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financial instruments at FVOCI</w:t>
            </w:r>
          </w:p>
        </w:tc>
      </w:tr>
      <w:tr>
        <w:trPr>
          <w:trHeight w:val="216"/>
        </w:trPr>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1,543</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on sale of financial instruments at FVOCI</w:t>
            </w:r>
          </w:p>
        </w:tc>
      </w:tr>
      <w:tr>
        <w:trPr>
          <w:trHeight w:val="230"/>
        </w:trPr>
        <w:tc>
          <w:tcPr>
            <w:tcW w:w="32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2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(260)</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Derivative financial instruments and hedging</w:t>
            </w:r>
          </w:p>
        </w:tc>
      </w:tr>
      <w:tr>
        <w:trPr>
          <w:trHeight w:val="263"/>
        </w:trPr>
        <w:tc>
          <w:tcPr>
            <w:tcW w:w="32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1,048</w:t>
            </w:r>
          </w:p>
        </w:tc>
        <w:tc>
          <w:tcPr>
            <w:tcW w:w="220" w:type="dxa"/>
            <w:vAlign w:val="bottom"/>
            <w:tcBorders>
              <w:bottom w:val="single" w:sz="8" w:color="CCEEFF"/>
            </w:tcBorders>
          </w:tcPr>
          <w:p>
            <w:pPr>
              <w:spacing w:after="0"/>
              <w:rPr>
                <w:sz w:val="22"/>
                <w:szCs w:val="22"/>
                <w:color w:val="auto"/>
              </w:rPr>
            </w:pPr>
          </w:p>
        </w:tc>
        <w:tc>
          <w:tcPr>
            <w:tcW w:w="4740" w:type="dxa"/>
            <w:vAlign w:val="bottom"/>
            <w:tcBorders>
              <w:bottom w:val="single" w:sz="8" w:color="CCEEFF"/>
            </w:tcBorders>
          </w:tcPr>
          <w:p>
            <w:pPr>
              <w:spacing w:after="0"/>
              <w:rPr>
                <w:sz w:val="22"/>
                <w:szCs w:val="22"/>
                <w:color w:val="auto"/>
              </w:rPr>
            </w:pPr>
          </w:p>
        </w:tc>
      </w:tr>
      <w:tr>
        <w:trPr>
          <w:trHeight w:val="197"/>
        </w:trPr>
        <w:tc>
          <w:tcPr>
            <w:tcW w:w="32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740" w:type="dxa"/>
            <w:vAlign w:val="bottom"/>
            <w:shd w:val="clear" w:color="auto" w:fill="CCEEFF"/>
          </w:tcPr>
          <w:p>
            <w:pPr>
              <w:spacing w:after="0"/>
              <w:rPr>
                <w:sz w:val="17"/>
                <w:szCs w:val="17"/>
                <w:color w:val="auto"/>
              </w:rPr>
            </w:pPr>
          </w:p>
        </w:tc>
      </w:tr>
      <w:tr>
        <w:trPr>
          <w:trHeight w:val="202"/>
        </w:trPr>
        <w:tc>
          <w:tcPr>
            <w:tcW w:w="3380" w:type="dxa"/>
            <w:vAlign w:val="bottom"/>
            <w:gridSpan w:val="2"/>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740" w:type="dxa"/>
            <w:vAlign w:val="bottom"/>
          </w:tcPr>
          <w:p>
            <w:pPr>
              <w:spacing w:after="0"/>
              <w:rPr>
                <w:sz w:val="17"/>
                <w:szCs w:val="17"/>
                <w:color w:val="auto"/>
              </w:rPr>
            </w:pPr>
          </w:p>
        </w:tc>
      </w:tr>
      <w:tr>
        <w:trPr>
          <w:trHeight w:val="230"/>
        </w:trPr>
        <w:tc>
          <w:tcPr>
            <w:tcW w:w="3380" w:type="dxa"/>
            <w:vAlign w:val="bottom"/>
            <w:gridSpan w:val="2"/>
          </w:tcPr>
          <w:p>
            <w:pPr>
              <w:ind w:left="60"/>
              <w:spacing w:after="0"/>
              <w:rPr>
                <w:sz w:val="20"/>
                <w:szCs w:val="20"/>
                <w:color w:val="auto"/>
              </w:rPr>
            </w:pPr>
            <w:r>
              <w:rPr>
                <w:rFonts w:ascii="Arial" w:cs="Arial" w:eastAsia="Arial" w:hAnsi="Arial"/>
                <w:sz w:val="18"/>
                <w:szCs w:val="18"/>
                <w:color w:val="auto"/>
              </w:rPr>
              <w:t>instruments:</w:t>
            </w:r>
          </w:p>
        </w:tc>
        <w:tc>
          <w:tcPr>
            <w:tcW w:w="2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740" w:type="dxa"/>
            <w:vAlign w:val="bottom"/>
          </w:tcPr>
          <w:p>
            <w:pPr>
              <w:spacing w:after="0"/>
              <w:rPr>
                <w:sz w:val="20"/>
                <w:szCs w:val="20"/>
                <w:color w:val="auto"/>
              </w:rPr>
            </w:pPr>
          </w:p>
        </w:tc>
      </w:tr>
      <w:tr>
        <w:trPr>
          <w:trHeight w:val="216"/>
        </w:trPr>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Foreign exchange forward</w:t>
            </w:r>
          </w:p>
        </w:tc>
        <w:tc>
          <w:tcPr>
            <w:tcW w:w="27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(498)</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loans at amortized cost</w:t>
            </w:r>
          </w:p>
        </w:tc>
      </w:tr>
      <w:tr>
        <w:trPr>
          <w:trHeight w:val="216"/>
        </w:trPr>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911</w:t>
            </w:r>
          </w:p>
        </w:tc>
        <w:tc>
          <w:tcPr>
            <w:tcW w:w="4740" w:type="dxa"/>
            <w:vAlign w:val="bottom"/>
          </w:tcPr>
          <w:p>
            <w:pPr>
              <w:ind w:left="60"/>
              <w:spacing w:after="0"/>
              <w:rPr>
                <w:sz w:val="20"/>
                <w:szCs w:val="20"/>
                <w:color w:val="auto"/>
              </w:rPr>
            </w:pPr>
            <w:r>
              <w:rPr>
                <w:rFonts w:ascii="Arial" w:cs="Arial" w:eastAsia="Arial" w:hAnsi="Arial"/>
                <w:sz w:val="18"/>
                <w:szCs w:val="18"/>
                <w:color w:val="auto"/>
              </w:rPr>
              <w:t>Interest expense – borrowings and deposits</w:t>
            </w:r>
          </w:p>
        </w:tc>
      </w:tr>
      <w:tr>
        <w:trPr>
          <w:trHeight w:val="216"/>
        </w:trPr>
        <w:tc>
          <w:tcPr>
            <w:tcW w:w="3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foreign currency exchange</w:t>
            </w:r>
          </w:p>
        </w:tc>
      </w:tr>
      <w:tr>
        <w:trPr>
          <w:trHeight w:val="216"/>
        </w:trPr>
        <w:tc>
          <w:tcPr>
            <w:tcW w:w="3380" w:type="dxa"/>
            <w:vAlign w:val="bottom"/>
            <w:gridSpan w:val="2"/>
          </w:tcPr>
          <w:p>
            <w:pPr>
              <w:ind w:left="20"/>
              <w:spacing w:after="0"/>
              <w:rPr>
                <w:sz w:val="20"/>
                <w:szCs w:val="20"/>
                <w:color w:val="auto"/>
              </w:rPr>
            </w:pPr>
            <w:r>
              <w:rPr>
                <w:rFonts w:ascii="Arial" w:cs="Arial" w:eastAsia="Arial" w:hAnsi="Arial"/>
                <w:sz w:val="18"/>
                <w:szCs w:val="18"/>
                <w:color w:val="auto"/>
              </w:rPr>
              <w:t>Interest rate swaps</w:t>
            </w:r>
          </w:p>
        </w:tc>
        <w:tc>
          <w:tcPr>
            <w:tcW w:w="27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(loss) on interest rate swaps</w:t>
            </w:r>
          </w:p>
        </w:tc>
      </w:tr>
      <w:tr>
        <w:trPr>
          <w:trHeight w:val="230"/>
        </w:trPr>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Cross-currency interest rate swap</w:t>
            </w:r>
          </w:p>
        </w:tc>
        <w:tc>
          <w:tcPr>
            <w:tcW w:w="27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cross-currency interest rate swap</w:t>
            </w:r>
          </w:p>
        </w:tc>
      </w:tr>
      <w:tr>
        <w:trPr>
          <w:trHeight w:val="263"/>
        </w:trPr>
        <w:tc>
          <w:tcPr>
            <w:tcW w:w="32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413</w:t>
            </w:r>
          </w:p>
        </w:tc>
        <w:tc>
          <w:tcPr>
            <w:tcW w:w="220" w:type="dxa"/>
            <w:vAlign w:val="bottom"/>
            <w:tcBorders>
              <w:bottom w:val="single" w:sz="8" w:color="CCEEFF"/>
            </w:tcBorders>
          </w:tcPr>
          <w:p>
            <w:pPr>
              <w:spacing w:after="0"/>
              <w:rPr>
                <w:sz w:val="22"/>
                <w:szCs w:val="22"/>
                <w:color w:val="auto"/>
              </w:rPr>
            </w:pPr>
          </w:p>
        </w:tc>
        <w:tc>
          <w:tcPr>
            <w:tcW w:w="4740" w:type="dxa"/>
            <w:vAlign w:val="bottom"/>
            <w:tcBorders>
              <w:bottom w:val="single" w:sz="8" w:color="CCEEFF"/>
            </w:tcBorders>
          </w:tcPr>
          <w:p>
            <w:pPr>
              <w:spacing w:after="0"/>
              <w:rPr>
                <w:sz w:val="22"/>
                <w:szCs w:val="22"/>
                <w:color w:val="auto"/>
              </w:rPr>
            </w:pPr>
          </w:p>
        </w:tc>
      </w:tr>
      <w:tr>
        <w:trPr>
          <w:trHeight w:val="197"/>
        </w:trPr>
        <w:tc>
          <w:tcPr>
            <w:tcW w:w="32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740" w:type="dxa"/>
            <w:vAlign w:val="bottom"/>
            <w:shd w:val="clear" w:color="auto" w:fill="CCEEFF"/>
          </w:tcPr>
          <w:p>
            <w:pPr>
              <w:spacing w:after="0"/>
              <w:rPr>
                <w:sz w:val="17"/>
                <w:szCs w:val="17"/>
                <w:color w:val="auto"/>
              </w:rPr>
            </w:pPr>
          </w:p>
        </w:tc>
      </w:tr>
    </w:tbl>
    <w:p>
      <w:pPr>
        <w:spacing w:after="0" w:line="198" w:lineRule="exact"/>
        <w:rPr>
          <w:sz w:val="20"/>
          <w:szCs w:val="20"/>
          <w:color w:val="auto"/>
        </w:rPr>
      </w:pPr>
    </w:p>
    <w:p>
      <w:pPr>
        <w:jc w:val="center"/>
        <w:ind w:left="400"/>
        <w:spacing w:after="0"/>
        <w:rPr>
          <w:sz w:val="20"/>
          <w:szCs w:val="20"/>
          <w:color w:val="auto"/>
        </w:rPr>
      </w:pPr>
      <w:r>
        <w:rPr>
          <w:rFonts w:ascii="Arial" w:cs="Arial" w:eastAsia="Arial" w:hAnsi="Arial"/>
          <w:sz w:val="18"/>
          <w:szCs w:val="18"/>
          <w:b w:val="1"/>
          <w:bCs w:val="1"/>
          <w:color w:val="auto"/>
        </w:rPr>
        <w:t>Nine months ended 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500" w:type="dxa"/>
            <w:vAlign w:val="bottom"/>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40" w:type="dxa"/>
            <w:vAlign w:val="bottom"/>
            <w:tcBorders>
              <w:top w:val="single" w:sz="8" w:color="auto"/>
            </w:tcBorders>
          </w:tcPr>
          <w:p>
            <w:pPr>
              <w:spacing w:after="0"/>
              <w:rPr>
                <w:sz w:val="16"/>
                <w:szCs w:val="16"/>
                <w:color w:val="auto"/>
              </w:rPr>
            </w:pPr>
          </w:p>
        </w:tc>
        <w:tc>
          <w:tcPr>
            <w:tcW w:w="2700" w:type="dxa"/>
            <w:vAlign w:val="bottom"/>
            <w:tcBorders>
              <w:top w:val="single" w:sz="8" w:color="auto"/>
            </w:tcBorders>
            <w:gridSpan w:val="2"/>
          </w:tcPr>
          <w:p>
            <w:pPr>
              <w:jc w:val="right"/>
              <w:ind w:right="640"/>
              <w:spacing w:after="0" w:line="191" w:lineRule="exact"/>
              <w:rPr>
                <w:sz w:val="20"/>
                <w:szCs w:val="20"/>
                <w:color w:val="auto"/>
              </w:rPr>
            </w:pPr>
            <w:r>
              <w:rPr>
                <w:rFonts w:ascii="Arial" w:cs="Arial" w:eastAsia="Arial" w:hAnsi="Arial"/>
                <w:sz w:val="18"/>
                <w:szCs w:val="18"/>
                <w:b w:val="1"/>
                <w:bCs w:val="1"/>
                <w:color w:val="auto"/>
              </w:rPr>
              <w:t>Amount reclassified</w:t>
            </w:r>
          </w:p>
        </w:tc>
        <w:tc>
          <w:tcPr>
            <w:tcW w:w="474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360"/>
              <w:spacing w:after="0"/>
              <w:rPr>
                <w:sz w:val="20"/>
                <w:szCs w:val="20"/>
                <w:color w:val="auto"/>
              </w:rPr>
            </w:pPr>
            <w:r>
              <w:rPr>
                <w:rFonts w:ascii="Arial" w:cs="Arial" w:eastAsia="Arial" w:hAnsi="Arial"/>
                <w:sz w:val="18"/>
                <w:szCs w:val="18"/>
                <w:b w:val="1"/>
                <w:bCs w:val="1"/>
                <w:color w:val="auto"/>
              </w:rPr>
              <w:t>Details about accumulated other</w:t>
            </w:r>
          </w:p>
        </w:tc>
        <w:tc>
          <w:tcPr>
            <w:tcW w:w="27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from accumulated other</w:t>
            </w:r>
          </w:p>
        </w:tc>
        <w:tc>
          <w:tcPr>
            <w:tcW w:w="4740" w:type="dxa"/>
            <w:vAlign w:val="bottom"/>
          </w:tcPr>
          <w:p>
            <w:pPr>
              <w:ind w:left="520"/>
              <w:spacing w:after="0"/>
              <w:rPr>
                <w:sz w:val="20"/>
                <w:szCs w:val="20"/>
                <w:color w:val="auto"/>
              </w:rPr>
            </w:pPr>
            <w:r>
              <w:rPr>
                <w:rFonts w:ascii="Arial" w:cs="Arial" w:eastAsia="Arial" w:hAnsi="Arial"/>
                <w:sz w:val="18"/>
                <w:szCs w:val="18"/>
                <w:b w:val="1"/>
                <w:bCs w:val="1"/>
                <w:color w:val="auto"/>
              </w:rPr>
              <w:t>Affected line item in the consolidated statement</w:t>
            </w:r>
          </w:p>
        </w:tc>
        <w:tc>
          <w:tcPr>
            <w:tcW w:w="100" w:type="dxa"/>
            <w:vAlign w:val="bottom"/>
          </w:tcPr>
          <w:p>
            <w:pPr>
              <w:spacing w:after="0"/>
              <w:rPr>
                <w:sz w:val="18"/>
                <w:szCs w:val="18"/>
                <w:color w:val="auto"/>
              </w:rPr>
            </w:pPr>
          </w:p>
        </w:tc>
      </w:tr>
      <w:tr>
        <w:trPr>
          <w:trHeight w:val="234"/>
        </w:trPr>
        <w:tc>
          <w:tcPr>
            <w:tcW w:w="500" w:type="dxa"/>
            <w:vAlign w:val="bottom"/>
          </w:tcPr>
          <w:p>
            <w:pPr>
              <w:spacing w:after="0"/>
              <w:rPr>
                <w:sz w:val="20"/>
                <w:szCs w:val="20"/>
                <w:color w:val="auto"/>
              </w:rPr>
            </w:pPr>
          </w:p>
        </w:tc>
        <w:tc>
          <w:tcPr>
            <w:tcW w:w="3380" w:type="dxa"/>
            <w:vAlign w:val="bottom"/>
            <w:gridSpan w:val="2"/>
          </w:tcPr>
          <w:p>
            <w:pPr>
              <w:ind w:left="260"/>
              <w:spacing w:after="0"/>
              <w:rPr>
                <w:sz w:val="20"/>
                <w:szCs w:val="20"/>
                <w:color w:val="auto"/>
              </w:rPr>
            </w:pPr>
            <w:r>
              <w:rPr>
                <w:rFonts w:ascii="Arial" w:cs="Arial" w:eastAsia="Arial" w:hAnsi="Arial"/>
                <w:sz w:val="18"/>
                <w:szCs w:val="18"/>
                <w:b w:val="1"/>
                <w:bCs w:val="1"/>
                <w:color w:val="auto"/>
                <w:w w:val="99"/>
              </w:rPr>
              <w:t>comprehensive income components</w:t>
            </w:r>
          </w:p>
        </w:tc>
        <w:tc>
          <w:tcPr>
            <w:tcW w:w="27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comprehensive income</w:t>
            </w:r>
          </w:p>
        </w:tc>
        <w:tc>
          <w:tcPr>
            <w:tcW w:w="4740" w:type="dxa"/>
            <w:vAlign w:val="bottom"/>
          </w:tcPr>
          <w:p>
            <w:pPr>
              <w:ind w:left="600"/>
              <w:spacing w:after="0"/>
              <w:rPr>
                <w:sz w:val="20"/>
                <w:szCs w:val="20"/>
                <w:color w:val="auto"/>
              </w:rPr>
            </w:pPr>
            <w:r>
              <w:rPr>
                <w:rFonts w:ascii="Arial" w:cs="Arial" w:eastAsia="Arial" w:hAnsi="Arial"/>
                <w:sz w:val="18"/>
                <w:szCs w:val="18"/>
                <w:b w:val="1"/>
                <w:bCs w:val="1"/>
                <w:color w:val="auto"/>
              </w:rPr>
              <w:t>of profit or loss where net income is presented</w:t>
            </w:r>
          </w:p>
        </w:tc>
        <w:tc>
          <w:tcPr>
            <w:tcW w:w="100" w:type="dxa"/>
            <w:vAlign w:val="bottom"/>
          </w:tcPr>
          <w:p>
            <w:pPr>
              <w:spacing w:after="0"/>
              <w:rPr>
                <w:sz w:val="20"/>
                <w:szCs w:val="20"/>
                <w:color w:val="auto"/>
              </w:rPr>
            </w:pPr>
          </w:p>
        </w:tc>
      </w:tr>
      <w:tr>
        <w:trPr>
          <w:trHeight w:val="195"/>
        </w:trPr>
        <w:tc>
          <w:tcPr>
            <w:tcW w:w="500" w:type="dxa"/>
            <w:vAlign w:val="bottom"/>
          </w:tcPr>
          <w:p>
            <w:pPr>
              <w:spacing w:after="0"/>
              <w:rPr>
                <w:sz w:val="16"/>
                <w:szCs w:val="16"/>
                <w:color w:val="auto"/>
              </w:rPr>
            </w:pPr>
          </w:p>
        </w:tc>
        <w:tc>
          <w:tcPr>
            <w:tcW w:w="3240" w:type="dxa"/>
            <w:vAlign w:val="bottom"/>
            <w:tcBorders>
              <w:top w:val="single" w:sz="8" w:color="auto"/>
            </w:tcBorders>
            <w:shd w:val="clear" w:color="auto" w:fill="CCEEFF"/>
          </w:tcPr>
          <w:p>
            <w:pPr>
              <w:ind w:left="20"/>
              <w:spacing w:after="0" w:line="195" w:lineRule="exact"/>
              <w:rPr>
                <w:sz w:val="20"/>
                <w:szCs w:val="20"/>
                <w:color w:val="auto"/>
              </w:rPr>
            </w:pPr>
            <w:r>
              <w:rPr>
                <w:rFonts w:ascii="Arial" w:cs="Arial" w:eastAsia="Arial" w:hAnsi="Arial"/>
                <w:sz w:val="18"/>
                <w:szCs w:val="18"/>
                <w:color w:val="auto"/>
              </w:rPr>
              <w:t>Realized gains (losses) on financial</w:t>
            </w:r>
          </w:p>
        </w:tc>
        <w:tc>
          <w:tcPr>
            <w:tcW w:w="140" w:type="dxa"/>
            <w:vAlign w:val="bottom"/>
            <w:tcBorders>
              <w:top w:val="single" w:sz="8" w:color="CCEEFF"/>
            </w:tcBorders>
            <w:shd w:val="clear" w:color="auto" w:fill="CCEEFF"/>
          </w:tcPr>
          <w:p>
            <w:pPr>
              <w:spacing w:after="0"/>
              <w:rPr>
                <w:sz w:val="16"/>
                <w:szCs w:val="16"/>
                <w:color w:val="auto"/>
              </w:rPr>
            </w:pPr>
          </w:p>
        </w:tc>
        <w:tc>
          <w:tcPr>
            <w:tcW w:w="24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4740" w:type="dxa"/>
            <w:vAlign w:val="bottom"/>
            <w:tcBorders>
              <w:top w:val="single" w:sz="8" w:color="auto"/>
            </w:tcBorders>
            <w:shd w:val="clear" w:color="auto" w:fill="CCEEFF"/>
          </w:tcPr>
          <w:p>
            <w:pPr>
              <w:spacing w:after="0"/>
              <w:rPr>
                <w:sz w:val="16"/>
                <w:szCs w:val="16"/>
                <w:color w:val="auto"/>
              </w:rPr>
            </w:pPr>
          </w:p>
        </w:tc>
        <w:tc>
          <w:tcPr>
            <w:tcW w:w="100" w:type="dxa"/>
            <w:vAlign w:val="bottom"/>
          </w:tcPr>
          <w:p>
            <w:pPr>
              <w:spacing w:after="0"/>
              <w:rPr>
                <w:sz w:val="16"/>
                <w:szCs w:val="16"/>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instruments at FVOCI:</w:t>
            </w: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(572)</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financial instruments at FVOCI</w:t>
            </w: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140"/>
              <w:spacing w:after="0"/>
              <w:rPr>
                <w:sz w:val="20"/>
                <w:szCs w:val="20"/>
                <w:color w:val="auto"/>
              </w:rPr>
            </w:pPr>
            <w:r>
              <w:rPr>
                <w:rFonts w:ascii="Arial" w:cs="Arial" w:eastAsia="Arial" w:hAnsi="Arial"/>
                <w:sz w:val="18"/>
                <w:szCs w:val="18"/>
                <w:color w:val="auto"/>
              </w:rPr>
              <w:t>3,268</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on sale of financial instruments at FVOCI</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24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(494)</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Derivative financial instruments and hedging</w:t>
            </w:r>
          </w:p>
        </w:tc>
        <w:tc>
          <w:tcPr>
            <w:tcW w:w="100" w:type="dxa"/>
            <w:vAlign w:val="bottom"/>
          </w:tcPr>
          <w:p>
            <w:pPr>
              <w:spacing w:after="0"/>
              <w:rPr>
                <w:sz w:val="19"/>
                <w:szCs w:val="19"/>
                <w:color w:val="auto"/>
              </w:rPr>
            </w:pPr>
          </w:p>
        </w:tc>
      </w:tr>
      <w:tr>
        <w:trPr>
          <w:trHeight w:val="263"/>
        </w:trPr>
        <w:tc>
          <w:tcPr>
            <w:tcW w:w="500" w:type="dxa"/>
            <w:vAlign w:val="bottom"/>
          </w:tcPr>
          <w:p>
            <w:pPr>
              <w:spacing w:after="0"/>
              <w:rPr>
                <w:sz w:val="22"/>
                <w:szCs w:val="22"/>
                <w:color w:val="auto"/>
              </w:rPr>
            </w:pPr>
          </w:p>
        </w:tc>
        <w:tc>
          <w:tcPr>
            <w:tcW w:w="3240" w:type="dxa"/>
            <w:vAlign w:val="bottom"/>
            <w:tcBorders>
              <w:bottom w:val="single" w:sz="8" w:color="CCEEFF"/>
            </w:tcBorders>
          </w:tcPr>
          <w:p>
            <w:pPr>
              <w:spacing w:after="0"/>
              <w:rPr>
                <w:sz w:val="22"/>
                <w:szCs w:val="22"/>
                <w:color w:val="auto"/>
              </w:rPr>
            </w:pPr>
          </w:p>
        </w:tc>
        <w:tc>
          <w:tcPr>
            <w:tcW w:w="140" w:type="dxa"/>
            <w:vAlign w:val="bottom"/>
            <w:tcBorders>
              <w:bottom w:val="single" w:sz="8" w:color="CCEEFF"/>
            </w:tcBorders>
          </w:tcPr>
          <w:p>
            <w:pPr>
              <w:spacing w:after="0"/>
              <w:rPr>
                <w:sz w:val="22"/>
                <w:szCs w:val="22"/>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2,202</w:t>
            </w:r>
          </w:p>
        </w:tc>
        <w:tc>
          <w:tcPr>
            <w:tcW w:w="220" w:type="dxa"/>
            <w:vAlign w:val="bottom"/>
            <w:tcBorders>
              <w:bottom w:val="single" w:sz="8" w:color="CCEEFF"/>
            </w:tcBorders>
          </w:tcPr>
          <w:p>
            <w:pPr>
              <w:spacing w:after="0"/>
              <w:rPr>
                <w:sz w:val="22"/>
                <w:szCs w:val="22"/>
                <w:color w:val="auto"/>
              </w:rPr>
            </w:pPr>
          </w:p>
        </w:tc>
        <w:tc>
          <w:tcPr>
            <w:tcW w:w="4740" w:type="dxa"/>
            <w:vAlign w:val="bottom"/>
            <w:tcBorders>
              <w:bottom w:val="single" w:sz="8" w:color="CCEEFF"/>
            </w:tcBorders>
          </w:tcPr>
          <w:p>
            <w:pPr>
              <w:spacing w:after="0"/>
              <w:rPr>
                <w:sz w:val="22"/>
                <w:szCs w:val="22"/>
                <w:color w:val="auto"/>
              </w:rPr>
            </w:pPr>
          </w:p>
        </w:tc>
        <w:tc>
          <w:tcPr>
            <w:tcW w:w="100" w:type="dxa"/>
            <w:vAlign w:val="bottom"/>
          </w:tcPr>
          <w:p>
            <w:pPr>
              <w:spacing w:after="0"/>
              <w:rPr>
                <w:sz w:val="22"/>
                <w:szCs w:val="22"/>
                <w:color w:val="auto"/>
              </w:rPr>
            </w:pPr>
          </w:p>
        </w:tc>
      </w:tr>
      <w:tr>
        <w:trPr>
          <w:trHeight w:val="197"/>
        </w:trPr>
        <w:tc>
          <w:tcPr>
            <w:tcW w:w="500" w:type="dxa"/>
            <w:vAlign w:val="bottom"/>
          </w:tcPr>
          <w:p>
            <w:pPr>
              <w:spacing w:after="0"/>
              <w:rPr>
                <w:sz w:val="17"/>
                <w:szCs w:val="17"/>
                <w:color w:val="auto"/>
              </w:rPr>
            </w:pPr>
          </w:p>
        </w:tc>
        <w:tc>
          <w:tcPr>
            <w:tcW w:w="32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4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4740" w:type="dxa"/>
            <w:vAlign w:val="bottom"/>
            <w:shd w:val="clear" w:color="auto" w:fill="CCEEFF"/>
          </w:tcPr>
          <w:p>
            <w:pPr>
              <w:spacing w:after="0"/>
              <w:rPr>
                <w:sz w:val="17"/>
                <w:szCs w:val="17"/>
                <w:color w:val="auto"/>
              </w:rPr>
            </w:pPr>
          </w:p>
        </w:tc>
        <w:tc>
          <w:tcPr>
            <w:tcW w:w="100" w:type="dxa"/>
            <w:vAlign w:val="bottom"/>
          </w:tcPr>
          <w:p>
            <w:pPr>
              <w:spacing w:after="0"/>
              <w:rPr>
                <w:sz w:val="17"/>
                <w:szCs w:val="17"/>
                <w:color w:val="auto"/>
              </w:rPr>
            </w:pPr>
          </w:p>
        </w:tc>
      </w:tr>
      <w:tr>
        <w:trPr>
          <w:trHeight w:val="202"/>
        </w:trPr>
        <w:tc>
          <w:tcPr>
            <w:tcW w:w="500" w:type="dxa"/>
            <w:vAlign w:val="bottom"/>
          </w:tcPr>
          <w:p>
            <w:pPr>
              <w:spacing w:after="0"/>
              <w:rPr>
                <w:sz w:val="17"/>
                <w:szCs w:val="17"/>
                <w:color w:val="auto"/>
              </w:rPr>
            </w:pPr>
          </w:p>
        </w:tc>
        <w:tc>
          <w:tcPr>
            <w:tcW w:w="3380" w:type="dxa"/>
            <w:vAlign w:val="bottom"/>
            <w:gridSpan w:val="2"/>
          </w:tcPr>
          <w:p>
            <w:pPr>
              <w:ind w:left="20"/>
              <w:spacing w:after="0" w:line="201" w:lineRule="exact"/>
              <w:rPr>
                <w:sz w:val="20"/>
                <w:szCs w:val="20"/>
                <w:color w:val="auto"/>
              </w:rPr>
            </w:pPr>
            <w:r>
              <w:rPr>
                <w:rFonts w:ascii="Arial" w:cs="Arial" w:eastAsia="Arial" w:hAnsi="Arial"/>
                <w:sz w:val="18"/>
                <w:szCs w:val="18"/>
                <w:color w:val="auto"/>
              </w:rPr>
              <w:t>Gains (losses) on derivative financial</w:t>
            </w:r>
          </w:p>
        </w:tc>
        <w:tc>
          <w:tcPr>
            <w:tcW w:w="24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474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230"/>
        </w:trPr>
        <w:tc>
          <w:tcPr>
            <w:tcW w:w="500" w:type="dxa"/>
            <w:vAlign w:val="bottom"/>
          </w:tcPr>
          <w:p>
            <w:pPr>
              <w:spacing w:after="0"/>
              <w:rPr>
                <w:sz w:val="20"/>
                <w:szCs w:val="20"/>
                <w:color w:val="auto"/>
              </w:rPr>
            </w:pPr>
          </w:p>
        </w:tc>
        <w:tc>
          <w:tcPr>
            <w:tcW w:w="3380" w:type="dxa"/>
            <w:vAlign w:val="bottom"/>
            <w:gridSpan w:val="2"/>
          </w:tcPr>
          <w:p>
            <w:pPr>
              <w:ind w:left="60"/>
              <w:spacing w:after="0"/>
              <w:rPr>
                <w:sz w:val="20"/>
                <w:szCs w:val="20"/>
                <w:color w:val="auto"/>
              </w:rPr>
            </w:pPr>
            <w:r>
              <w:rPr>
                <w:rFonts w:ascii="Arial" w:cs="Arial" w:eastAsia="Arial" w:hAnsi="Arial"/>
                <w:sz w:val="18"/>
                <w:szCs w:val="18"/>
                <w:color w:val="auto"/>
              </w:rPr>
              <w:t>instruments:</w:t>
            </w:r>
          </w:p>
        </w:tc>
        <w:tc>
          <w:tcPr>
            <w:tcW w:w="2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Foreign exchange forward</w:t>
            </w: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(327)</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Interest income – loans at amortized cost</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700" w:type="dxa"/>
            <w:vAlign w:val="bottom"/>
            <w:gridSpan w:val="2"/>
          </w:tcPr>
          <w:p>
            <w:pPr>
              <w:jc w:val="right"/>
              <w:ind w:right="80"/>
              <w:spacing w:after="0"/>
              <w:rPr>
                <w:sz w:val="20"/>
                <w:szCs w:val="20"/>
                <w:color w:val="auto"/>
              </w:rPr>
            </w:pPr>
            <w:r>
              <w:rPr>
                <w:rFonts w:ascii="Arial" w:cs="Arial" w:eastAsia="Arial" w:hAnsi="Arial"/>
                <w:sz w:val="18"/>
                <w:szCs w:val="18"/>
                <w:color w:val="auto"/>
              </w:rPr>
              <w:t>(234)</w:t>
            </w:r>
          </w:p>
        </w:tc>
        <w:tc>
          <w:tcPr>
            <w:tcW w:w="4740" w:type="dxa"/>
            <w:vAlign w:val="bottom"/>
          </w:tcPr>
          <w:p>
            <w:pPr>
              <w:ind w:left="60"/>
              <w:spacing w:after="0"/>
              <w:rPr>
                <w:sz w:val="20"/>
                <w:szCs w:val="20"/>
                <w:color w:val="auto"/>
              </w:rPr>
            </w:pPr>
            <w:r>
              <w:rPr>
                <w:rFonts w:ascii="Arial" w:cs="Arial" w:eastAsia="Arial" w:hAnsi="Arial"/>
                <w:sz w:val="18"/>
                <w:szCs w:val="18"/>
                <w:color w:val="auto"/>
              </w:rPr>
              <w:t>Interest expense - borrowings</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24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2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(1,232)</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foreign currency exchange</w:t>
            </w:r>
          </w:p>
        </w:tc>
        <w:tc>
          <w:tcPr>
            <w:tcW w:w="100" w:type="dxa"/>
            <w:vAlign w:val="bottom"/>
          </w:tcPr>
          <w:p>
            <w:pPr>
              <w:spacing w:after="0"/>
              <w:rPr>
                <w:sz w:val="18"/>
                <w:szCs w:val="18"/>
                <w:color w:val="auto"/>
              </w:rPr>
            </w:pPr>
          </w:p>
        </w:tc>
      </w:tr>
      <w:tr>
        <w:trPr>
          <w:trHeight w:val="216"/>
        </w:trPr>
        <w:tc>
          <w:tcPr>
            <w:tcW w:w="500" w:type="dxa"/>
            <w:vAlign w:val="bottom"/>
          </w:tcPr>
          <w:p>
            <w:pPr>
              <w:spacing w:after="0"/>
              <w:rPr>
                <w:sz w:val="18"/>
                <w:szCs w:val="18"/>
                <w:color w:val="auto"/>
              </w:rPr>
            </w:pPr>
          </w:p>
        </w:tc>
        <w:tc>
          <w:tcPr>
            <w:tcW w:w="3380" w:type="dxa"/>
            <w:vAlign w:val="bottom"/>
            <w:gridSpan w:val="2"/>
          </w:tcPr>
          <w:p>
            <w:pPr>
              <w:ind w:left="20"/>
              <w:spacing w:after="0"/>
              <w:rPr>
                <w:sz w:val="20"/>
                <w:szCs w:val="20"/>
                <w:color w:val="auto"/>
              </w:rPr>
            </w:pPr>
            <w:r>
              <w:rPr>
                <w:rFonts w:ascii="Arial" w:cs="Arial" w:eastAsia="Arial" w:hAnsi="Arial"/>
                <w:sz w:val="18"/>
                <w:szCs w:val="18"/>
                <w:color w:val="auto"/>
              </w:rPr>
              <w:t>Interest rate swaps</w:t>
            </w:r>
          </w:p>
        </w:tc>
        <w:tc>
          <w:tcPr>
            <w:tcW w:w="27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4740" w:type="dxa"/>
            <w:vAlign w:val="bottom"/>
          </w:tcPr>
          <w:p>
            <w:pPr>
              <w:ind w:left="60"/>
              <w:spacing w:after="0"/>
              <w:rPr>
                <w:sz w:val="20"/>
                <w:szCs w:val="20"/>
                <w:color w:val="auto"/>
              </w:rPr>
            </w:pPr>
            <w:r>
              <w:rPr>
                <w:rFonts w:ascii="Arial" w:cs="Arial" w:eastAsia="Arial" w:hAnsi="Arial"/>
                <w:sz w:val="18"/>
                <w:szCs w:val="18"/>
                <w:color w:val="auto"/>
              </w:rPr>
              <w:t>Net gain (loss) on interest rate swaps</w:t>
            </w:r>
          </w:p>
        </w:tc>
        <w:tc>
          <w:tcPr>
            <w:tcW w:w="100" w:type="dxa"/>
            <w:vAlign w:val="bottom"/>
          </w:tcPr>
          <w:p>
            <w:pPr>
              <w:spacing w:after="0"/>
              <w:rPr>
                <w:sz w:val="18"/>
                <w:szCs w:val="18"/>
                <w:color w:val="auto"/>
              </w:rPr>
            </w:pPr>
          </w:p>
        </w:tc>
      </w:tr>
      <w:tr>
        <w:trPr>
          <w:trHeight w:val="230"/>
        </w:trPr>
        <w:tc>
          <w:tcPr>
            <w:tcW w:w="500" w:type="dxa"/>
            <w:vAlign w:val="bottom"/>
          </w:tcPr>
          <w:p>
            <w:pPr>
              <w:spacing w:after="0"/>
              <w:rPr>
                <w:sz w:val="19"/>
                <w:szCs w:val="19"/>
                <w:color w:val="auto"/>
              </w:rPr>
            </w:pPr>
          </w:p>
        </w:tc>
        <w:tc>
          <w:tcPr>
            <w:tcW w:w="338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Cross-currency interest rate swap</w:t>
            </w:r>
          </w:p>
        </w:tc>
        <w:tc>
          <w:tcPr>
            <w:tcW w:w="2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4740" w:type="dxa"/>
            <w:vAlign w:val="bottom"/>
            <w:shd w:val="clear" w:color="auto" w:fill="CCEEFF"/>
          </w:tcPr>
          <w:p>
            <w:pPr>
              <w:ind w:left="60"/>
              <w:spacing w:after="0"/>
              <w:rPr>
                <w:sz w:val="20"/>
                <w:szCs w:val="20"/>
                <w:color w:val="auto"/>
              </w:rPr>
            </w:pPr>
            <w:r>
              <w:rPr>
                <w:rFonts w:ascii="Arial" w:cs="Arial" w:eastAsia="Arial" w:hAnsi="Arial"/>
                <w:sz w:val="18"/>
                <w:szCs w:val="18"/>
                <w:color w:val="auto"/>
              </w:rPr>
              <w:t>Net gain (loss) on cross-currency swaps</w:t>
            </w:r>
          </w:p>
        </w:tc>
        <w:tc>
          <w:tcPr>
            <w:tcW w:w="100" w:type="dxa"/>
            <w:vAlign w:val="bottom"/>
          </w:tcPr>
          <w:p>
            <w:pPr>
              <w:spacing w:after="0"/>
              <w:rPr>
                <w:sz w:val="19"/>
                <w:szCs w:val="19"/>
                <w:color w:val="auto"/>
              </w:rPr>
            </w:pPr>
          </w:p>
        </w:tc>
      </w:tr>
      <w:tr>
        <w:trPr>
          <w:trHeight w:val="223"/>
        </w:trPr>
        <w:tc>
          <w:tcPr>
            <w:tcW w:w="500" w:type="dxa"/>
            <w:vAlign w:val="bottom"/>
          </w:tcPr>
          <w:p>
            <w:pPr>
              <w:spacing w:after="0"/>
              <w:rPr>
                <w:sz w:val="19"/>
                <w:szCs w:val="19"/>
                <w:color w:val="auto"/>
              </w:rPr>
            </w:pPr>
          </w:p>
        </w:tc>
        <w:tc>
          <w:tcPr>
            <w:tcW w:w="32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(1,793</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474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50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2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47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629"/>
        </w:trPr>
        <w:tc>
          <w:tcPr>
            <w:tcW w:w="500" w:type="dxa"/>
            <w:vAlign w:val="bottom"/>
            <w:tcBorders>
              <w:bottom w:val="single" w:sz="8" w:color="auto"/>
            </w:tcBorders>
          </w:tcPr>
          <w:p>
            <w:pPr>
              <w:spacing w:after="0"/>
              <w:rPr>
                <w:sz w:val="24"/>
                <w:szCs w:val="24"/>
                <w:color w:val="auto"/>
              </w:rPr>
            </w:pPr>
          </w:p>
        </w:tc>
        <w:tc>
          <w:tcPr>
            <w:tcW w:w="3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24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color w:val="auto"/>
              </w:rPr>
              <w:t>58</w:t>
            </w:r>
          </w:p>
        </w:tc>
        <w:tc>
          <w:tcPr>
            <w:tcW w:w="220" w:type="dxa"/>
            <w:vAlign w:val="bottom"/>
            <w:tcBorders>
              <w:bottom w:val="single" w:sz="8" w:color="auto"/>
            </w:tcBorders>
          </w:tcPr>
          <w:p>
            <w:pPr>
              <w:spacing w:after="0"/>
              <w:rPr>
                <w:sz w:val="24"/>
                <w:szCs w:val="24"/>
                <w:color w:val="auto"/>
              </w:rPr>
            </w:pPr>
          </w:p>
        </w:tc>
        <w:tc>
          <w:tcPr>
            <w:tcW w:w="47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60" w:name="page61"/>
    <w:bookmarkEnd w:id="6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During the reporting year, total compensation paid to directors and the executives of Bladex as representatives of the Bank amounted to:</w:t>
      </w:r>
    </w:p>
    <w:p>
      <w:pPr>
        <w:spacing w:after="0" w:line="221"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3640" w:type="dxa"/>
            <w:vAlign w:val="bottom"/>
          </w:tcPr>
          <w:p>
            <w:pPr>
              <w:spacing w:after="0"/>
              <w:rPr>
                <w:sz w:val="18"/>
                <w:szCs w:val="18"/>
                <w:color w:val="auto"/>
              </w:rPr>
            </w:pPr>
          </w:p>
        </w:tc>
        <w:tc>
          <w:tcPr>
            <w:tcW w:w="2620" w:type="dxa"/>
            <w:vAlign w:val="bottom"/>
            <w:gridSpan w:val="4"/>
          </w:tcPr>
          <w:p>
            <w:pPr>
              <w:jc w:val="center"/>
              <w:ind w:left="310"/>
              <w:spacing w:after="0"/>
              <w:rPr>
                <w:sz w:val="20"/>
                <w:szCs w:val="20"/>
                <w:color w:val="auto"/>
              </w:rPr>
            </w:pPr>
            <w:r>
              <w:rPr>
                <w:rFonts w:ascii="Arial" w:cs="Arial" w:eastAsia="Arial" w:hAnsi="Arial"/>
                <w:sz w:val="18"/>
                <w:szCs w:val="18"/>
                <w:b w:val="1"/>
                <w:bCs w:val="1"/>
                <w:color w:val="auto"/>
                <w:w w:val="89"/>
              </w:rPr>
              <w:t>Three months ended</w:t>
            </w:r>
          </w:p>
        </w:tc>
        <w:tc>
          <w:tcPr>
            <w:tcW w:w="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80" w:type="dxa"/>
            <w:vAlign w:val="bottom"/>
            <w:gridSpan w:val="5"/>
          </w:tcPr>
          <w:p>
            <w:pPr>
              <w:jc w:val="center"/>
              <w:ind w:right="80"/>
              <w:spacing w:after="0"/>
              <w:rPr>
                <w:sz w:val="20"/>
                <w:szCs w:val="20"/>
                <w:color w:val="auto"/>
              </w:rPr>
            </w:pPr>
            <w:r>
              <w:rPr>
                <w:rFonts w:ascii="Arial" w:cs="Arial" w:eastAsia="Arial" w:hAnsi="Arial"/>
                <w:sz w:val="18"/>
                <w:szCs w:val="18"/>
                <w:b w:val="1"/>
                <w:bCs w:val="1"/>
                <w:color w:val="auto"/>
                <w:w w:val="88"/>
              </w:rPr>
              <w:t>Nine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3640" w:type="dxa"/>
            <w:vAlign w:val="bottom"/>
          </w:tcPr>
          <w:p>
            <w:pPr>
              <w:spacing w:after="0"/>
              <w:rPr>
                <w:sz w:val="20"/>
                <w:szCs w:val="20"/>
                <w:color w:val="auto"/>
              </w:rPr>
            </w:pPr>
          </w:p>
        </w:tc>
        <w:tc>
          <w:tcPr>
            <w:tcW w:w="920" w:type="dxa"/>
            <w:vAlign w:val="bottom"/>
            <w:tcBorders>
              <w:bottom w:val="single" w:sz="8" w:color="auto"/>
            </w:tcBorders>
          </w:tcPr>
          <w:p>
            <w:pPr>
              <w:spacing w:after="0"/>
              <w:rPr>
                <w:sz w:val="20"/>
                <w:szCs w:val="20"/>
                <w:color w:val="auto"/>
              </w:rPr>
            </w:pPr>
          </w:p>
        </w:tc>
        <w:tc>
          <w:tcPr>
            <w:tcW w:w="1700" w:type="dxa"/>
            <w:vAlign w:val="bottom"/>
            <w:tcBorders>
              <w:bottom w:val="single" w:sz="8" w:color="auto"/>
            </w:tcBorders>
            <w:gridSpan w:val="3"/>
          </w:tcPr>
          <w:p>
            <w:pPr>
              <w:jc w:val="center"/>
              <w:ind w:right="520"/>
              <w:spacing w:after="0"/>
              <w:rPr>
                <w:sz w:val="20"/>
                <w:szCs w:val="20"/>
                <w:color w:val="auto"/>
              </w:rPr>
            </w:pPr>
            <w:r>
              <w:rPr>
                <w:rFonts w:ascii="Arial" w:cs="Arial" w:eastAsia="Arial" w:hAnsi="Arial"/>
                <w:sz w:val="18"/>
                <w:szCs w:val="18"/>
                <w:b w:val="1"/>
                <w:bCs w:val="1"/>
                <w:color w:val="auto"/>
                <w:w w:val="89"/>
              </w:rPr>
              <w:t>September 30,</w:t>
            </w:r>
          </w:p>
        </w:tc>
        <w:tc>
          <w:tcPr>
            <w:tcW w:w="4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080" w:type="dxa"/>
            <w:vAlign w:val="bottom"/>
            <w:tcBorders>
              <w:bottom w:val="single" w:sz="8" w:color="auto"/>
            </w:tcBorders>
            <w:gridSpan w:val="3"/>
          </w:tcPr>
          <w:p>
            <w:pPr>
              <w:jc w:val="center"/>
              <w:ind w:left="810"/>
              <w:spacing w:after="0"/>
              <w:rPr>
                <w:sz w:val="20"/>
                <w:szCs w:val="20"/>
                <w:color w:val="auto"/>
              </w:rPr>
            </w:pPr>
            <w:r>
              <w:rPr>
                <w:rFonts w:ascii="Arial" w:cs="Arial" w:eastAsia="Arial" w:hAnsi="Arial"/>
                <w:sz w:val="18"/>
                <w:szCs w:val="18"/>
                <w:b w:val="1"/>
                <w:bCs w:val="1"/>
                <w:color w:val="auto"/>
                <w:w w:val="89"/>
              </w:rPr>
              <w:t>September 30,</w:t>
            </w:r>
          </w:p>
        </w:tc>
        <w:tc>
          <w:tcPr>
            <w:tcW w:w="9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60" w:type="dxa"/>
            <w:vAlign w:val="bottom"/>
            <w:gridSpan w:val="2"/>
          </w:tcPr>
          <w:p>
            <w:pPr>
              <w:spacing w:after="0"/>
              <w:rPr>
                <w:sz w:val="19"/>
                <w:szCs w:val="19"/>
                <w:color w:val="auto"/>
              </w:rPr>
            </w:pPr>
          </w:p>
        </w:tc>
        <w:tc>
          <w:tcPr>
            <w:tcW w:w="364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8"/>
                <w:szCs w:val="18"/>
                <w:b w:val="1"/>
                <w:bCs w:val="1"/>
                <w:color w:val="auto"/>
              </w:rPr>
              <w:t>2016</w:t>
            </w:r>
          </w:p>
        </w:tc>
        <w:tc>
          <w:tcPr>
            <w:tcW w:w="1700" w:type="dxa"/>
            <w:vAlign w:val="bottom"/>
            <w:gridSpan w:val="3"/>
          </w:tcPr>
          <w:p>
            <w:pPr>
              <w:jc w:val="right"/>
              <w:ind w:right="120"/>
              <w:spacing w:after="0"/>
              <w:rPr>
                <w:sz w:val="20"/>
                <w:szCs w:val="20"/>
                <w:color w:val="auto"/>
              </w:rPr>
            </w:pPr>
            <w:r>
              <w:rPr>
                <w:rFonts w:ascii="Arial" w:cs="Arial" w:eastAsia="Arial" w:hAnsi="Arial"/>
                <w:sz w:val="18"/>
                <w:szCs w:val="18"/>
                <w:b w:val="1"/>
                <w:bCs w:val="1"/>
                <w:color w:val="auto"/>
              </w:rPr>
              <w:t>2015</w:t>
            </w:r>
          </w:p>
        </w:tc>
        <w:tc>
          <w:tcPr>
            <w:tcW w:w="4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tcPr>
          <w:p>
            <w:pPr>
              <w:jc w:val="right"/>
              <w:ind w:right="430"/>
              <w:spacing w:after="0"/>
              <w:rPr>
                <w:sz w:val="20"/>
                <w:szCs w:val="20"/>
                <w:color w:val="auto"/>
              </w:rPr>
            </w:pPr>
            <w:r>
              <w:rPr>
                <w:rFonts w:ascii="Arial" w:cs="Arial" w:eastAsia="Arial" w:hAnsi="Arial"/>
                <w:sz w:val="18"/>
                <w:szCs w:val="18"/>
                <w:b w:val="1"/>
                <w:bCs w:val="1"/>
                <w:color w:val="auto"/>
              </w:rPr>
              <w:t>2016</w:t>
            </w:r>
          </w:p>
        </w:tc>
        <w:tc>
          <w:tcPr>
            <w:tcW w:w="2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00" w:type="dxa"/>
            <w:vAlign w:val="bottom"/>
          </w:tcPr>
          <w:p>
            <w:pPr>
              <w:jc w:val="right"/>
              <w:ind w:right="410"/>
              <w:spacing w:after="0"/>
              <w:rPr>
                <w:sz w:val="20"/>
                <w:szCs w:val="20"/>
                <w:color w:val="auto"/>
              </w:rPr>
            </w:pPr>
            <w:r>
              <w:rPr>
                <w:rFonts w:ascii="Arial" w:cs="Arial" w:eastAsia="Arial" w:hAnsi="Arial"/>
                <w:sz w:val="18"/>
                <w:szCs w:val="18"/>
                <w:b w:val="1"/>
                <w:bCs w:val="1"/>
                <w:color w:val="auto"/>
                <w:w w:val="94"/>
              </w:rPr>
              <w:t>2015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20" w:type="dxa"/>
            <w:vAlign w:val="bottom"/>
          </w:tcPr>
          <w:p>
            <w:pPr>
              <w:spacing w:after="0"/>
              <w:rPr>
                <w:sz w:val="14"/>
                <w:szCs w:val="14"/>
                <w:color w:val="auto"/>
              </w:rPr>
            </w:pPr>
          </w:p>
        </w:tc>
        <w:tc>
          <w:tcPr>
            <w:tcW w:w="438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Expenses:</w:t>
            </w:r>
          </w:p>
        </w:tc>
        <w:tc>
          <w:tcPr>
            <w:tcW w:w="920" w:type="dxa"/>
            <w:vAlign w:val="bottom"/>
            <w:tcBorders>
              <w:top w:val="single" w:sz="8" w:color="auto"/>
            </w:tcBorders>
            <w:shd w:val="clear" w:color="auto" w:fill="CCEEFF"/>
          </w:tcPr>
          <w:p>
            <w:pPr>
              <w:spacing w:after="0"/>
              <w:rPr>
                <w:sz w:val="14"/>
                <w:szCs w:val="14"/>
                <w:color w:val="auto"/>
              </w:rPr>
            </w:pPr>
          </w:p>
        </w:tc>
        <w:tc>
          <w:tcPr>
            <w:tcW w:w="48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000" w:type="dxa"/>
            <w:vAlign w:val="bottom"/>
            <w:tcBorders>
              <w:top w:val="single" w:sz="8" w:color="auto"/>
            </w:tcBorders>
            <w:shd w:val="clear" w:color="auto" w:fill="CCEEFF"/>
          </w:tcPr>
          <w:p>
            <w:pPr>
              <w:spacing w:after="0"/>
              <w:rPr>
                <w:sz w:val="14"/>
                <w:szCs w:val="14"/>
                <w:color w:val="auto"/>
              </w:rPr>
            </w:pPr>
          </w:p>
        </w:tc>
        <w:tc>
          <w:tcPr>
            <w:tcW w:w="4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400" w:type="dxa"/>
            <w:vAlign w:val="bottom"/>
            <w:tcBorders>
              <w:top w:val="single" w:sz="8" w:color="auto"/>
            </w:tcBorders>
            <w:shd w:val="clear" w:color="auto" w:fill="CCEEFF"/>
          </w:tcPr>
          <w:p>
            <w:pPr>
              <w:spacing w:after="0"/>
              <w:rPr>
                <w:sz w:val="14"/>
                <w:szCs w:val="14"/>
                <w:color w:val="auto"/>
              </w:rPr>
            </w:pPr>
          </w:p>
        </w:tc>
        <w:tc>
          <w:tcPr>
            <w:tcW w:w="200" w:type="dxa"/>
            <w:vAlign w:val="bottom"/>
            <w:tcBorders>
              <w:top w:val="single" w:sz="8" w:color="CCEEFF"/>
            </w:tcBorders>
            <w:shd w:val="clear" w:color="auto" w:fill="CCEEFF"/>
          </w:tcPr>
          <w:p>
            <w:pPr>
              <w:spacing w:after="0"/>
              <w:rPr>
                <w:sz w:val="14"/>
                <w:szCs w:val="14"/>
                <w:color w:val="auto"/>
              </w:rPr>
            </w:pPr>
          </w:p>
        </w:tc>
        <w:tc>
          <w:tcPr>
            <w:tcW w:w="480" w:type="dxa"/>
            <w:vAlign w:val="bottom"/>
            <w:tcBorders>
              <w:top w:val="single" w:sz="8" w:color="auto"/>
            </w:tcBorders>
            <w:shd w:val="clear" w:color="auto" w:fill="CCEEFF"/>
          </w:tcPr>
          <w:p>
            <w:pPr>
              <w:spacing w:after="0"/>
              <w:rPr>
                <w:sz w:val="14"/>
                <w:szCs w:val="14"/>
                <w:color w:val="auto"/>
              </w:rPr>
            </w:pPr>
          </w:p>
        </w:tc>
        <w:tc>
          <w:tcPr>
            <w:tcW w:w="900" w:type="dxa"/>
            <w:vAlign w:val="bottom"/>
            <w:tcBorders>
              <w:top w:val="single" w:sz="8" w:color="auto"/>
            </w:tcBorders>
            <w:shd w:val="clear" w:color="auto" w:fill="CCEEFF"/>
          </w:tcPr>
          <w:p>
            <w:pPr>
              <w:spacing w:after="0"/>
              <w:rPr>
                <w:sz w:val="14"/>
                <w:szCs w:val="14"/>
                <w:color w:val="auto"/>
              </w:rPr>
            </w:pPr>
          </w:p>
        </w:tc>
        <w:tc>
          <w:tcPr>
            <w:tcW w:w="10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20" w:type="dxa"/>
            <w:vAlign w:val="bottom"/>
            <w:vMerge w:val="restart"/>
          </w:tcPr>
          <w:p>
            <w:pPr>
              <w:spacing w:after="0" w:line="20" w:lineRule="exact"/>
              <w:rPr>
                <w:sz w:val="1"/>
                <w:szCs w:val="1"/>
                <w:color w:val="auto"/>
              </w:rPr>
            </w:pPr>
          </w:p>
        </w:tc>
        <w:tc>
          <w:tcPr>
            <w:tcW w:w="740" w:type="dxa"/>
            <w:vAlign w:val="bottom"/>
            <w:tcBorders>
              <w:top w:val="single" w:sz="8" w:color="auto"/>
            </w:tcBorders>
            <w:shd w:val="clear" w:color="auto" w:fill="CCEEFF"/>
          </w:tcPr>
          <w:p>
            <w:pPr>
              <w:spacing w:after="0" w:line="20" w:lineRule="exact"/>
              <w:rPr>
                <w:sz w:val="1"/>
                <w:szCs w:val="1"/>
                <w:color w:val="auto"/>
              </w:rPr>
            </w:pPr>
          </w:p>
        </w:tc>
        <w:tc>
          <w:tcPr>
            <w:tcW w:w="3640" w:type="dxa"/>
            <w:vAlign w:val="bottom"/>
            <w:tcBorders>
              <w:top w:val="single" w:sz="8" w:color="CCEEFF"/>
            </w:tcBorders>
            <w:shd w:val="clear" w:color="auto" w:fill="CCEEFF"/>
          </w:tcPr>
          <w:p>
            <w:pPr>
              <w:spacing w:after="0" w:line="20" w:lineRule="exact"/>
              <w:rPr>
                <w:sz w:val="1"/>
                <w:szCs w:val="1"/>
                <w:color w:val="auto"/>
              </w:rPr>
            </w:pPr>
          </w:p>
        </w:tc>
        <w:tc>
          <w:tcPr>
            <w:tcW w:w="92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000" w:type="dxa"/>
            <w:vAlign w:val="bottom"/>
            <w:tcBorders>
              <w:top w:val="single" w:sz="8" w:color="CCEEFF"/>
            </w:tcBorders>
            <w:shd w:val="clear" w:color="auto" w:fill="CCEEFF"/>
          </w:tcPr>
          <w:p>
            <w:pPr>
              <w:spacing w:after="0" w:line="20" w:lineRule="exact"/>
              <w:rPr>
                <w:sz w:val="1"/>
                <w:szCs w:val="1"/>
                <w:color w:val="auto"/>
              </w:rPr>
            </w:pPr>
          </w:p>
        </w:tc>
        <w:tc>
          <w:tcPr>
            <w:tcW w:w="4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4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480" w:type="dxa"/>
            <w:vAlign w:val="bottom"/>
            <w:tcBorders>
              <w:top w:val="single" w:sz="8" w:color="CCEEFF"/>
            </w:tcBorders>
            <w:shd w:val="clear" w:color="auto" w:fill="CCEEFF"/>
          </w:tcPr>
          <w:p>
            <w:pPr>
              <w:spacing w:after="0" w:line="20" w:lineRule="exact"/>
              <w:rPr>
                <w:sz w:val="1"/>
                <w:szCs w:val="1"/>
                <w:color w:val="auto"/>
              </w:rPr>
            </w:pPr>
          </w:p>
        </w:tc>
        <w:tc>
          <w:tcPr>
            <w:tcW w:w="90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83"/>
        </w:trPr>
        <w:tc>
          <w:tcPr>
            <w:tcW w:w="20" w:type="dxa"/>
            <w:vAlign w:val="bottom"/>
            <w:vMerge w:val="continue"/>
          </w:tcPr>
          <w:p>
            <w:pPr>
              <w:spacing w:after="0"/>
              <w:rPr>
                <w:sz w:val="24"/>
                <w:szCs w:val="24"/>
                <w:color w:val="auto"/>
              </w:rPr>
            </w:pPr>
          </w:p>
        </w:tc>
        <w:tc>
          <w:tcPr>
            <w:tcW w:w="5300" w:type="dxa"/>
            <w:vAlign w:val="bottom"/>
            <w:gridSpan w:val="3"/>
          </w:tcPr>
          <w:p>
            <w:pPr>
              <w:spacing w:after="0"/>
              <w:rPr>
                <w:sz w:val="20"/>
                <w:szCs w:val="20"/>
                <w:color w:val="auto"/>
              </w:rPr>
            </w:pPr>
            <w:r>
              <w:rPr>
                <w:rFonts w:ascii="Arial" w:cs="Arial" w:eastAsia="Arial" w:hAnsi="Arial"/>
                <w:sz w:val="18"/>
                <w:szCs w:val="18"/>
                <w:color w:val="auto"/>
              </w:rPr>
              <w:t>Compensation costs paid to directors</w:t>
            </w:r>
          </w:p>
        </w:tc>
        <w:tc>
          <w:tcPr>
            <w:tcW w:w="700" w:type="dxa"/>
            <w:vAlign w:val="bottom"/>
            <w:gridSpan w:val="2"/>
          </w:tcPr>
          <w:p>
            <w:pPr>
              <w:jc w:val="right"/>
              <w:ind w:right="220"/>
              <w:spacing w:after="0"/>
              <w:rPr>
                <w:sz w:val="20"/>
                <w:szCs w:val="20"/>
                <w:color w:val="auto"/>
              </w:rPr>
            </w:pPr>
            <w:r>
              <w:rPr>
                <w:rFonts w:ascii="Arial" w:cs="Arial" w:eastAsia="Arial" w:hAnsi="Arial"/>
                <w:sz w:val="18"/>
                <w:szCs w:val="18"/>
                <w:color w:val="auto"/>
              </w:rPr>
              <w:t>252</w:t>
            </w:r>
          </w:p>
        </w:tc>
        <w:tc>
          <w:tcPr>
            <w:tcW w:w="1000" w:type="dxa"/>
            <w:vAlign w:val="bottom"/>
          </w:tcPr>
          <w:p>
            <w:pPr>
              <w:spacing w:after="0"/>
              <w:rPr>
                <w:sz w:val="24"/>
                <w:szCs w:val="24"/>
                <w:color w:val="auto"/>
              </w:rPr>
            </w:pPr>
          </w:p>
        </w:tc>
        <w:tc>
          <w:tcPr>
            <w:tcW w:w="620" w:type="dxa"/>
            <w:vAlign w:val="bottom"/>
            <w:gridSpan w:val="2"/>
          </w:tcPr>
          <w:p>
            <w:pPr>
              <w:jc w:val="right"/>
              <w:ind w:right="220"/>
              <w:spacing w:after="0"/>
              <w:rPr>
                <w:sz w:val="20"/>
                <w:szCs w:val="20"/>
                <w:color w:val="auto"/>
              </w:rPr>
            </w:pPr>
            <w:r>
              <w:rPr>
                <w:rFonts w:ascii="Arial" w:cs="Arial" w:eastAsia="Arial" w:hAnsi="Arial"/>
                <w:sz w:val="18"/>
                <w:szCs w:val="18"/>
                <w:color w:val="auto"/>
              </w:rPr>
              <w:t>238</w:t>
            </w:r>
          </w:p>
        </w:tc>
        <w:tc>
          <w:tcPr>
            <w:tcW w:w="1600" w:type="dxa"/>
            <w:vAlign w:val="bottom"/>
            <w:gridSpan w:val="2"/>
          </w:tcPr>
          <w:p>
            <w:pPr>
              <w:jc w:val="right"/>
              <w:ind w:right="200"/>
              <w:spacing w:after="0"/>
              <w:rPr>
                <w:sz w:val="20"/>
                <w:szCs w:val="20"/>
                <w:color w:val="auto"/>
              </w:rPr>
            </w:pPr>
            <w:r>
              <w:rPr>
                <w:rFonts w:ascii="Arial" w:cs="Arial" w:eastAsia="Arial" w:hAnsi="Arial"/>
                <w:sz w:val="18"/>
                <w:szCs w:val="18"/>
                <w:color w:val="auto"/>
              </w:rPr>
              <w:t>491</w:t>
            </w:r>
          </w:p>
        </w:tc>
        <w:tc>
          <w:tcPr>
            <w:tcW w:w="480" w:type="dxa"/>
            <w:vAlign w:val="bottom"/>
          </w:tcPr>
          <w:p>
            <w:pPr>
              <w:spacing w:after="0"/>
              <w:rPr>
                <w:sz w:val="24"/>
                <w:szCs w:val="24"/>
                <w:color w:val="auto"/>
              </w:rPr>
            </w:pPr>
          </w:p>
        </w:tc>
        <w:tc>
          <w:tcPr>
            <w:tcW w:w="1000" w:type="dxa"/>
            <w:vAlign w:val="bottom"/>
            <w:gridSpan w:val="2"/>
          </w:tcPr>
          <w:p>
            <w:pPr>
              <w:jc w:val="right"/>
              <w:ind w:right="100"/>
              <w:spacing w:after="0"/>
              <w:rPr>
                <w:sz w:val="20"/>
                <w:szCs w:val="20"/>
                <w:color w:val="auto"/>
              </w:rPr>
            </w:pPr>
            <w:r>
              <w:rPr>
                <w:rFonts w:ascii="Arial" w:cs="Arial" w:eastAsia="Arial" w:hAnsi="Arial"/>
                <w:sz w:val="18"/>
                <w:szCs w:val="18"/>
                <w:color w:val="auto"/>
              </w:rPr>
              <w:t>480</w:t>
            </w: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38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paid to executives</w:t>
            </w:r>
          </w:p>
        </w:tc>
        <w:tc>
          <w:tcPr>
            <w:tcW w:w="920" w:type="dxa"/>
            <w:vAlign w:val="bottom"/>
            <w:tcBorders>
              <w:top w:val="single" w:sz="8" w:color="auto"/>
              <w:bottom w:val="single" w:sz="8" w:color="auto"/>
            </w:tcBorders>
            <w:shd w:val="clear" w:color="auto" w:fill="CCEEFF"/>
          </w:tcPr>
          <w:p>
            <w:pPr>
              <w:spacing w:after="0"/>
              <w:rPr>
                <w:sz w:val="17"/>
                <w:szCs w:val="17"/>
                <w:color w:val="auto"/>
              </w:rPr>
            </w:pPr>
          </w:p>
        </w:tc>
        <w:tc>
          <w:tcPr>
            <w:tcW w:w="48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346</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spacing w:after="0"/>
              <w:rPr>
                <w:sz w:val="17"/>
                <w:szCs w:val="17"/>
                <w:color w:val="auto"/>
              </w:rPr>
            </w:pPr>
          </w:p>
        </w:tc>
        <w:tc>
          <w:tcPr>
            <w:tcW w:w="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354</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4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3,696</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480" w:type="dxa"/>
            <w:vAlign w:val="bottom"/>
            <w:tcBorders>
              <w:top w:val="single" w:sz="8" w:color="auto"/>
              <w:bottom w:val="single" w:sz="8" w:color="auto"/>
            </w:tcBorders>
            <w:shd w:val="clear" w:color="auto" w:fill="CCEEFF"/>
          </w:tcPr>
          <w:p>
            <w:pPr>
              <w:spacing w:after="0"/>
              <w:rPr>
                <w:sz w:val="17"/>
                <w:szCs w:val="17"/>
                <w:color w:val="auto"/>
              </w:rPr>
            </w:pPr>
          </w:p>
        </w:tc>
        <w:tc>
          <w:tcPr>
            <w:tcW w:w="9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4,226</w:t>
            </w: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6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Contingencies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500" w:hanging="492"/>
        <w:spacing w:after="0"/>
        <w:tabs>
          <w:tab w:leader="none" w:pos="50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Risk is inherent in the Bank’s activities, but it is managed through a process of ongoing identification, measurement and monitoring, subject to risk limits and other controls. This process of risk management is critical to the Bank’s continuing profitability and each individual within the Bank is accountable for the risk exposures relating to his or her responsibilities. The Bank is exposed to market, credit, compliance and liquidity risk. It is also subject to country risk and various operating risks.</w:t>
      </w:r>
    </w:p>
    <w:p>
      <w:pPr>
        <w:spacing w:after="0" w:line="186"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Board of Directors is responsible for the overall risk management approach and for approving the risk management strategies and principles. The Board has appointed a Risk Committee which has the responsibility to monitor the overall risk process within the Bank.</w:t>
      </w:r>
    </w:p>
    <w:p>
      <w:pPr>
        <w:spacing w:after="0" w:line="170"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Committee has the overall responsibility for the development of the risk strategy and implementing principles, frameworks, policies and limits. The Risk Committee is responsible for managing risk decisions and monitoring risk levels and reports on a weekly basis to the Supervisory Board.</w:t>
      </w:r>
    </w:p>
    <w:p>
      <w:pPr>
        <w:spacing w:after="0" w:line="181" w:lineRule="exact"/>
        <w:rPr>
          <w:rFonts w:ascii="Arial" w:cs="Arial" w:eastAsia="Arial" w:hAnsi="Arial"/>
          <w:sz w:val="18"/>
          <w:szCs w:val="18"/>
          <w:b w:val="1"/>
          <w:bCs w:val="1"/>
          <w:color w:val="auto"/>
        </w:rPr>
      </w:pPr>
    </w:p>
    <w:p>
      <w:pPr>
        <w:ind w:left="500" w:right="2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Risk Management Unit is responsible for implementing and maintaining risk related procedures to ensure an independent control process is maintained. The unit works closely with the Risk Committee to ensure that procedures are compliant with the overall framework.</w:t>
      </w:r>
    </w:p>
    <w:p>
      <w:pPr>
        <w:spacing w:after="0" w:line="146"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Risk Controlling Unit is responsible for monitoring compliance with risk principles, policies and limits across the Bank. This unit also ensures the complete capture of the risks in risk measurement and reporting systems. Exceptions are reported on a daily basis, where necessary, to the Risk Committee, and the relevant actions are taken to address exceptions and any areas of weakness.</w:t>
      </w:r>
    </w:p>
    <w:p>
      <w:pPr>
        <w:spacing w:after="0" w:line="181" w:lineRule="exact"/>
        <w:rPr>
          <w:rFonts w:ascii="Arial" w:cs="Arial" w:eastAsia="Arial" w:hAnsi="Arial"/>
          <w:sz w:val="18"/>
          <w:szCs w:val="18"/>
          <w:b w:val="1"/>
          <w:bCs w:val="1"/>
          <w:color w:val="auto"/>
        </w:rPr>
      </w:pPr>
    </w:p>
    <w:p>
      <w:pPr>
        <w:jc w:val="both"/>
        <w:ind w:left="50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Bank‘s Assets/Liabilities Committee (ALCO) is responsible for managing the Bank’s assets and liabilities and the overall financial structure. It is also primarily responsible for the funding and liquidity risks of the Bank. The Bank’s policy is that risk management processes throughout the Bank are audited annually by the Internal Audit function, which examines both the adequacy of the procedures and the Bank’s compliance with the procedures. Internal Audit discusses the results of all assessments with management, and reports its findings and recommendations to the Audit Committee.</w:t>
      </w:r>
    </w:p>
    <w:p>
      <w:pPr>
        <w:spacing w:after="0" w:line="370"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59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1" w:name="page62"/>
    <w:bookmarkEnd w:id="61"/>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measurement and reporting systems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risks are measured using a method that reflects both the expected loss likely to arise in normal circumstances and unexpected losses, which are an estimate of the ultimate actual loss based on statistical models. The models make use of probabilities derived from historical experience, adjusted to reflect the economic environment. The Bank also runs worst-case scenarios that would arise in the event that extreme events which are unlikely to occur do, in fact, occur.</w:t>
      </w:r>
    </w:p>
    <w:p>
      <w:pPr>
        <w:spacing w:after="0" w:line="186" w:lineRule="exact"/>
        <w:rPr>
          <w:rFonts w:ascii="Arial" w:cs="Arial" w:eastAsia="Arial" w:hAnsi="Arial"/>
          <w:sz w:val="18"/>
          <w:szCs w:val="18"/>
          <w:b w:val="1"/>
          <w:bCs w:val="1"/>
          <w:color w:val="auto"/>
        </w:rPr>
      </w:pPr>
    </w:p>
    <w:p>
      <w:pPr>
        <w:jc w:val="both"/>
        <w:ind w:left="5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Monitoring and controlling risks is primarily performed based on limits established by the Bank. These limits reflect the business strategy and market environment of the Bank as well as the level of risk that the Bank is willing to accept, with additional emphasis on selected industries. In addition, the Bank’s policy is to measure and monitor the overall risk bearing capacity in relation to the aggregate risk exposure across all risk types and activities. Information compiled from all the businesses is examined and processed in order to analyze, control and identify risks on a timely basis. This information is presented and explained to the Board of Directors, the Risk Committee, and the head of each business division.</w:t>
      </w:r>
    </w:p>
    <w:p>
      <w:pPr>
        <w:spacing w:after="0" w:line="172"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report includes aggregate credit exposure, credit metric forecasts, market risk sensitivities, stop losses, liquidity ratios and risk profile changes. On a monthly basis, detailed reporting of industry, customer and geographic risks takes place. Senior management assesses the appropriateness of the allowance for credit losses on a monthly basis. The Supervisory Board receives a comprehensive risk report once a quarter which is designed to provide all the necessary information to assess and conclude on the risks of the Bank.</w:t>
      </w:r>
    </w:p>
    <w:p>
      <w:pPr>
        <w:spacing w:after="0" w:line="186"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For all levels throughout the Bank, specifically tailored risk reports are prepared and distributed in order to ensure that all business divisions have access to extensive, necessary and up–to–date information.</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mitigation</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part of its overall risk management, the Bank uses derivatives and other instruments to manage exposures resulting from changes in interest rates, foreign currencies, equity risks, credit risks, and exposures arising from forecast transactions.</w:t>
      </w:r>
    </w:p>
    <w:p>
      <w:pPr>
        <w:spacing w:after="0" w:line="170" w:lineRule="exact"/>
        <w:rPr>
          <w:rFonts w:ascii="Arial" w:cs="Arial" w:eastAsia="Arial" w:hAnsi="Arial"/>
          <w:sz w:val="18"/>
          <w:szCs w:val="18"/>
          <w:b w:val="1"/>
          <w:bCs w:val="1"/>
          <w:color w:val="auto"/>
        </w:rPr>
      </w:pPr>
    </w:p>
    <w:p>
      <w:pPr>
        <w:jc w:val="both"/>
        <w:ind w:left="5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In accordance with the Bank’s policy, its risk profile is assessed before entering into hedge transactions, which are authorized by the appropriate level of seniority within the Bank. The effectiveness of hedges is assessed by the Risk Controlling Unit (based on economic considerations rather than the IFRS hedge accounting regulations).</w:t>
      </w:r>
    </w:p>
    <w:p>
      <w:pPr>
        <w:spacing w:after="0" w:line="181"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effectiveness of all the hedge relationships is monitored by the Risk Controlling Unit quarterly. In situations of ineffectiveness, the Bank will enter into a new hedge relationship to mitigate risk on a continuous basis.</w:t>
      </w:r>
    </w:p>
    <w:p>
      <w:pPr>
        <w:spacing w:after="0" w:line="166"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Risk concentration</w:t>
      </w:r>
    </w:p>
    <w:p>
      <w:pPr>
        <w:spacing w:after="0" w:line="229" w:lineRule="exact"/>
        <w:rPr>
          <w:rFonts w:ascii="Arial" w:cs="Arial" w:eastAsia="Arial" w:hAnsi="Arial"/>
          <w:sz w:val="18"/>
          <w:szCs w:val="18"/>
          <w:b w:val="1"/>
          <w:bCs w:val="1"/>
          <w:color w:val="auto"/>
        </w:rPr>
      </w:pPr>
    </w:p>
    <w:p>
      <w:pPr>
        <w:jc w:val="both"/>
        <w:ind w:left="500"/>
        <w:spacing w:after="0" w:line="273" w:lineRule="auto"/>
        <w:rPr>
          <w:rFonts w:ascii="Arial" w:cs="Arial" w:eastAsia="Arial" w:hAnsi="Arial"/>
          <w:sz w:val="18"/>
          <w:szCs w:val="18"/>
          <w:b w:val="1"/>
          <w:bCs w:val="1"/>
          <w:color w:val="auto"/>
        </w:rPr>
      </w:pPr>
      <w:r>
        <w:rPr>
          <w:rFonts w:ascii="Arial" w:cs="Arial" w:eastAsia="Arial" w:hAnsi="Arial"/>
          <w:sz w:val="17"/>
          <w:szCs w:val="17"/>
          <w:color w:val="auto"/>
        </w:rPr>
        <w:t>Concentrations arise when a number of counterparties are engaged in similar business activities, or activities in the same geographical region, or have similar economic features that would cause their ability to meet contractual obligations to be similarly affected by changes in economic, political or other conditions. Concentrations indicate the relative sensitivity of the Bank’s performance to developments affecting a particular industry or geographical location. In order to avoid excessive concentrations of risk, the Bank’s policies and procedures include specific guidelines to focus on maintaining a diversified portfolio. Identified concentrations of credit risks are controlled and managed accordingly. Selective hedging is used within the Bank to manage risk concentrations at both the relationship and industry/country levels.</w:t>
      </w:r>
    </w:p>
    <w:p>
      <w:pPr>
        <w:spacing w:after="0" w:line="178"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Bank has exposure to the following risk from financial instruments:</w:t>
      </w:r>
    </w:p>
    <w:p>
      <w:pPr>
        <w:spacing w:after="0" w:line="22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17.1  Credit Risk</w:t>
      </w:r>
    </w:p>
    <w:p>
      <w:pPr>
        <w:spacing w:after="0" w:line="229" w:lineRule="exact"/>
        <w:rPr>
          <w:sz w:val="20"/>
          <w:szCs w:val="20"/>
          <w:color w:val="auto"/>
        </w:rPr>
      </w:pPr>
    </w:p>
    <w:p>
      <w:pPr>
        <w:jc w:val="both"/>
        <w:ind w:left="500"/>
        <w:spacing w:after="0" w:line="264" w:lineRule="auto"/>
        <w:rPr>
          <w:sz w:val="20"/>
          <w:szCs w:val="20"/>
          <w:color w:val="auto"/>
        </w:rPr>
      </w:pPr>
      <w:r>
        <w:rPr>
          <w:rFonts w:ascii="Arial" w:cs="Arial" w:eastAsia="Arial" w:hAnsi="Arial"/>
          <w:sz w:val="18"/>
          <w:szCs w:val="18"/>
          <w:color w:val="auto"/>
        </w:rPr>
        <w:t>Credit risk is the risk that the Bank will incur a loss because its customers or counterparties fail to discharge their contractual obligations. The Bank manages and controls credit risk by setting limits on the amount of risk it is willing to accept for individual counterparties and for geographical and industry concentrations, and by monitoring exposures in relation to such limits.</w:t>
      </w:r>
    </w:p>
    <w:p>
      <w:pPr>
        <w:spacing w:after="0" w:line="181"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2" w:name="page63"/>
    <w:bookmarkEnd w:id="62"/>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17.1  Credit Risk (continued)</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has established a credit quality review process to provide early identification of possible changes in the creditworthiness of counterparties, including regular collateral revisions. Counterparty limits are established by the use of a credit risk classification system, which assigns each counterparty a risk rating. Risk ratings are subject to regular revision. The credit quality review process aims to allow the Bank to assess the potential loss as a result of the risks to which it is exposed and take corrective action.</w:t>
      </w:r>
    </w:p>
    <w:p>
      <w:pPr>
        <w:spacing w:after="0" w:line="182"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Individually assessed allowances</w:t>
      </w:r>
    </w:p>
    <w:p>
      <w:pPr>
        <w:spacing w:after="0" w:line="229" w:lineRule="exact"/>
        <w:rPr>
          <w:rFonts w:ascii="Arial" w:cs="Arial" w:eastAsia="Arial" w:hAnsi="Arial"/>
          <w:sz w:val="18"/>
          <w:szCs w:val="18"/>
          <w:b w:val="1"/>
          <w:bCs w:val="1"/>
          <w:color w:val="auto"/>
        </w:rPr>
      </w:pPr>
    </w:p>
    <w:p>
      <w:pPr>
        <w:jc w:val="both"/>
        <w:ind w:left="5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Bank determines the allowances appropriate for each individually significant loan or advance on an individual basis, taking into account any overdue payments of interests, credit rating downgrades, or infringement of the original terms of the contract. Items considered when determining allowance amounts include the sustainability of the counterparty’s business plan, its ability to improve performance if it is in a financial difficulty, projected receipts and the expected payout should bankruptcy ensue, the availability of other financial support, the realizable value of collateral and the timing of the expected cash flows. Allowances for losses are evaluated at each reporting date, unless unforeseen circumstances require more careful attention.</w:t>
      </w:r>
    </w:p>
    <w:p>
      <w:pPr>
        <w:spacing w:after="0" w:line="189"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Collectively assessed allowances</w:t>
      </w:r>
    </w:p>
    <w:p>
      <w:pPr>
        <w:spacing w:after="0" w:line="229" w:lineRule="exact"/>
        <w:rPr>
          <w:rFonts w:ascii="Arial" w:cs="Arial" w:eastAsia="Arial" w:hAnsi="Arial"/>
          <w:sz w:val="18"/>
          <w:szCs w:val="18"/>
          <w:b w:val="1"/>
          <w:bCs w:val="1"/>
          <w:color w:val="auto"/>
        </w:rPr>
      </w:pP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Allowances are assessed collectively for losses on loans and advances and for debt investments at amortized costs that are not individually significant and for individually significant loans and advances that have been assessed individually and found not to be impaired.</w:t>
      </w:r>
    </w:p>
    <w:p>
      <w:pPr>
        <w:spacing w:after="0" w:line="146" w:lineRule="exact"/>
        <w:rPr>
          <w:rFonts w:ascii="Arial" w:cs="Arial" w:eastAsia="Arial" w:hAnsi="Arial"/>
          <w:sz w:val="18"/>
          <w:szCs w:val="18"/>
          <w:b w:val="1"/>
          <w:bCs w:val="1"/>
          <w:color w:val="auto"/>
        </w:rPr>
      </w:pPr>
    </w:p>
    <w:p>
      <w:pPr>
        <w:jc w:val="both"/>
        <w:ind w:left="500"/>
        <w:spacing w:after="0" w:line="302" w:lineRule="auto"/>
        <w:rPr>
          <w:rFonts w:ascii="Arial" w:cs="Arial" w:eastAsia="Arial" w:hAnsi="Arial"/>
          <w:sz w:val="18"/>
          <w:szCs w:val="18"/>
          <w:b w:val="1"/>
          <w:bCs w:val="1"/>
          <w:color w:val="auto"/>
        </w:rPr>
      </w:pPr>
      <w:r>
        <w:rPr>
          <w:rFonts w:ascii="Arial" w:cs="Arial" w:eastAsia="Arial" w:hAnsi="Arial"/>
          <w:sz w:val="16"/>
          <w:szCs w:val="16"/>
          <w:color w:val="auto"/>
        </w:rPr>
        <w:t>The Bank generally bases its analyses on historical experience and prospective information. However, when there are significant market developments, regional and/or global, the Bank would include macroeconomic factors within its assessments. These factors include, depending on the characteristics of the individual or collective assessment: unemployment rates, current levels of bad debt, changes in the law, changes in regulation, bankruptcy trends, and other consumer data. The Bank may use the aforementioned factors as appropriate to adjust the impairment allowances.</w:t>
      </w:r>
    </w:p>
    <w:p>
      <w:pPr>
        <w:spacing w:after="0" w:line="154" w:lineRule="exact"/>
        <w:rPr>
          <w:rFonts w:ascii="Arial" w:cs="Arial" w:eastAsia="Arial" w:hAnsi="Arial"/>
          <w:sz w:val="18"/>
          <w:szCs w:val="18"/>
          <w:b w:val="1"/>
          <w:bCs w:val="1"/>
          <w:color w:val="auto"/>
        </w:rPr>
      </w:pPr>
    </w:p>
    <w:p>
      <w:pPr>
        <w:jc w:val="both"/>
        <w:ind w:left="500"/>
        <w:spacing w:after="0" w:line="271" w:lineRule="auto"/>
        <w:rPr>
          <w:rFonts w:ascii="Arial" w:cs="Arial" w:eastAsia="Arial" w:hAnsi="Arial"/>
          <w:sz w:val="18"/>
          <w:szCs w:val="18"/>
          <w:b w:val="1"/>
          <w:bCs w:val="1"/>
          <w:color w:val="auto"/>
        </w:rPr>
      </w:pPr>
      <w:r>
        <w:rPr>
          <w:rFonts w:ascii="Arial" w:cs="Arial" w:eastAsia="Arial" w:hAnsi="Arial"/>
          <w:sz w:val="17"/>
          <w:szCs w:val="17"/>
          <w:color w:val="auto"/>
        </w:rPr>
        <w:t>Allowances are evaluated separately at each reporting date with each portfolio. The collective assessment is made for groups of assets with similar risk characteristics, in order to determine whether provision should be made due to incurred loss events for which there is objective evidence, but the effects of which are not yet evident in the individual loans assessments. The collective assessment takes account of data from the loan portfolio (such as historical losses on the portfolio, levels of arrears, credit utilization, loan to collateral ratios and expected receipts and recoveries once impaired) or economic data (such as current economic conditions, unemployment levels and local or industry–specific problems). The approximate delay between the time a loss is likely to have been incurred and the time it will be identified as requiring an individually assessed impairment allowance is also taken into consideration. Local management is responsible for deciding the length of this period. The impairment allowance is then reviewed by credit management to ensure alignment with the Bank’s overall policy.</w:t>
      </w:r>
    </w:p>
    <w:p>
      <w:pPr>
        <w:spacing w:after="0" w:line="178"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Financial guarantees and letters of credit are assessed in a similar manner as for loans at amortized cost.</w:t>
      </w:r>
    </w:p>
    <w:p>
      <w:pPr>
        <w:spacing w:after="0" w:line="221"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500" w:righ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Credit risk arising from derivative financial instruments is, at any time, limited to those with positive fair values, as recorded on the statement of financial position at fair value. With gross–settled derivatives, the Bank is also exposed to a settlement risk, being the risk that the Bank honors its obligation, but the counterparty fails to deliver the counter value.</w:t>
      </w:r>
    </w:p>
    <w:p>
      <w:pPr>
        <w:spacing w:after="0" w:line="177"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Credit–related commitments risks</w:t>
      </w:r>
    </w:p>
    <w:p>
      <w:pPr>
        <w:spacing w:after="0" w:line="229"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makes available to its customers guarantees that may require that the Bank makes payments on their behalf and enters into commitments to extend credit lines to secure their liquidity needs. Letters of credit and guarantees (including standby letters of credit) commit the Bank to make payments on behalf of customers in the event of a specific act, generally related to the import or export of goods. Such commitments expose the Bank to similar risks to loans and are mitigated by the same control processes and policies.</w:t>
      </w:r>
    </w:p>
    <w:p>
      <w:pPr>
        <w:spacing w:after="0" w:line="200" w:lineRule="exact"/>
        <w:rPr>
          <w:sz w:val="20"/>
          <w:szCs w:val="20"/>
          <w:color w:val="auto"/>
        </w:rPr>
      </w:pPr>
    </w:p>
    <w:p>
      <w:pPr>
        <w:spacing w:after="0" w:line="203"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3" w:name="page64"/>
    <w:bookmarkEnd w:id="63"/>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1"/>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17.1  Credit Risk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Collateral and other credit enhancements</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amount and type of collateral required depends on an assessment of the credit risk of the counterparty. Guidelines are in place covering the acceptability and valuation of each type of collateral.</w:t>
      </w:r>
    </w:p>
    <w:p>
      <w:pPr>
        <w:spacing w:after="0" w:line="170"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The main types of collateral obtained are, as follows:</w:t>
      </w:r>
    </w:p>
    <w:p>
      <w:pPr>
        <w:spacing w:after="0" w:line="225" w:lineRule="exact"/>
        <w:rPr>
          <w:sz w:val="20"/>
          <w:szCs w:val="20"/>
          <w:color w:val="auto"/>
        </w:rPr>
      </w:pPr>
    </w:p>
    <w:p>
      <w:pPr>
        <w:ind w:left="1140" w:hanging="322"/>
        <w:spacing w:after="0"/>
        <w:tabs>
          <w:tab w:leader="none" w:pos="1140" w:val="left"/>
        </w:tabs>
        <w:numPr>
          <w:ilvl w:val="0"/>
          <w:numId w:val="72"/>
        </w:numPr>
        <w:rPr>
          <w:rFonts w:ascii="Arial" w:cs="Arial" w:eastAsia="Arial" w:hAnsi="Arial"/>
          <w:sz w:val="18"/>
          <w:szCs w:val="18"/>
          <w:color w:val="auto"/>
        </w:rPr>
      </w:pPr>
      <w:r>
        <w:rPr>
          <w:rFonts w:ascii="Arial" w:cs="Arial" w:eastAsia="Arial" w:hAnsi="Arial"/>
          <w:sz w:val="18"/>
          <w:szCs w:val="18"/>
          <w:color w:val="auto"/>
        </w:rPr>
        <w:t>For commercial lending, charges over real estate properties, inventory and trade receivables.</w:t>
      </w:r>
    </w:p>
    <w:p>
      <w:pPr>
        <w:spacing w:after="0" w:line="225" w:lineRule="exact"/>
        <w:rPr>
          <w:sz w:val="20"/>
          <w:szCs w:val="20"/>
          <w:color w:val="auto"/>
        </w:rPr>
      </w:pPr>
    </w:p>
    <w:p>
      <w:pPr>
        <w:jc w:val="both"/>
        <w:ind w:left="500"/>
        <w:spacing w:after="0" w:line="312" w:lineRule="auto"/>
        <w:rPr>
          <w:sz w:val="20"/>
          <w:szCs w:val="20"/>
          <w:color w:val="auto"/>
        </w:rPr>
      </w:pPr>
      <w:r>
        <w:rPr>
          <w:rFonts w:ascii="Arial" w:cs="Arial" w:eastAsia="Arial" w:hAnsi="Arial"/>
          <w:sz w:val="16"/>
          <w:szCs w:val="16"/>
          <w:color w:val="auto"/>
        </w:rPr>
        <w:t>The Bank also obtains guarantees from parent companies for loans to their subsidiaries. Management monitors the market value of collateral and will request additional collateral in accordance with the underlying agreement. It is the Bank’s policy to dispose of repossessed properties in an orderly fashion. The proceeds are used to reduce or repay the outstanding claim. In general, the Bank does not occupy repossessed properties for business use.</w:t>
      </w:r>
    </w:p>
    <w:p>
      <w:pPr>
        <w:spacing w:after="0" w:line="147"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The Bank also makes use of master netting agreements with counterparties with whom a significant volume of transactions are undertaken. Such arrangements provide for single net settlement of all financial instruments covered by the agreements in the event of default on any one contract. Master netting arrangements do not normally result in an offset of balance–sheet assets and liabilities unless certain conditions for offsetting.</w:t>
      </w:r>
    </w:p>
    <w:p>
      <w:pPr>
        <w:spacing w:after="0" w:line="166" w:lineRule="exact"/>
        <w:rPr>
          <w:sz w:val="20"/>
          <w:szCs w:val="20"/>
          <w:color w:val="auto"/>
        </w:rPr>
      </w:pPr>
    </w:p>
    <w:p>
      <w:pPr>
        <w:ind w:left="500"/>
        <w:spacing w:after="0"/>
        <w:rPr>
          <w:sz w:val="20"/>
          <w:szCs w:val="20"/>
          <w:color w:val="auto"/>
        </w:rPr>
      </w:pPr>
      <w:r>
        <w:rPr>
          <w:rFonts w:ascii="Arial" w:cs="Arial" w:eastAsia="Arial" w:hAnsi="Arial"/>
          <w:sz w:val="18"/>
          <w:szCs w:val="18"/>
          <w:color w:val="auto"/>
        </w:rPr>
        <w:t>Although master netting arrangements may significantly reduce credit risk, it should be noted that:</w:t>
      </w:r>
    </w:p>
    <w:p>
      <w:pPr>
        <w:spacing w:after="0" w:line="225" w:lineRule="exact"/>
        <w:rPr>
          <w:sz w:val="20"/>
          <w:szCs w:val="20"/>
          <w:color w:val="auto"/>
        </w:rPr>
      </w:pPr>
    </w:p>
    <w:p>
      <w:pPr>
        <w:ind w:left="1140" w:hanging="322"/>
        <w:spacing w:after="0"/>
        <w:tabs>
          <w:tab w:leader="none" w:pos="1140" w:val="left"/>
        </w:tabs>
        <w:numPr>
          <w:ilvl w:val="0"/>
          <w:numId w:val="73"/>
        </w:numPr>
        <w:rPr>
          <w:rFonts w:ascii="Arial" w:cs="Arial" w:eastAsia="Arial" w:hAnsi="Arial"/>
          <w:sz w:val="18"/>
          <w:szCs w:val="18"/>
          <w:color w:val="auto"/>
        </w:rPr>
      </w:pPr>
      <w:r>
        <w:rPr>
          <w:rFonts w:ascii="Arial" w:cs="Arial" w:eastAsia="Arial" w:hAnsi="Arial"/>
          <w:sz w:val="18"/>
          <w:szCs w:val="18"/>
          <w:color w:val="auto"/>
        </w:rPr>
        <w:t>Credit risk is eliminated only to the extent that amounts due to the same counterparty will be settled after the assets are realized.</w:t>
      </w:r>
    </w:p>
    <w:p>
      <w:pPr>
        <w:spacing w:after="0" w:line="23" w:lineRule="exact"/>
        <w:rPr>
          <w:rFonts w:ascii="Arial" w:cs="Arial" w:eastAsia="Arial" w:hAnsi="Arial"/>
          <w:sz w:val="18"/>
          <w:szCs w:val="18"/>
          <w:color w:val="auto"/>
        </w:rPr>
      </w:pPr>
    </w:p>
    <w:p>
      <w:pPr>
        <w:ind w:left="1140" w:hanging="322"/>
        <w:spacing w:after="0" w:line="261" w:lineRule="auto"/>
        <w:tabs>
          <w:tab w:leader="none" w:pos="1140" w:val="left"/>
        </w:tabs>
        <w:numPr>
          <w:ilvl w:val="0"/>
          <w:numId w:val="73"/>
        </w:numPr>
        <w:rPr>
          <w:rFonts w:ascii="Arial" w:cs="Arial" w:eastAsia="Arial" w:hAnsi="Arial"/>
          <w:sz w:val="18"/>
          <w:szCs w:val="18"/>
          <w:color w:val="auto"/>
        </w:rPr>
      </w:pPr>
      <w:r>
        <w:rPr>
          <w:rFonts w:ascii="Arial" w:cs="Arial" w:eastAsia="Arial" w:hAnsi="Arial"/>
          <w:sz w:val="18"/>
          <w:szCs w:val="18"/>
          <w:color w:val="auto"/>
        </w:rPr>
        <w:t>The extent to which overall credit risk is reduced may change substantially within a short period because the exposure is affected by each transaction subject to the arrangement.</w:t>
      </w:r>
    </w:p>
    <w:p>
      <w:pPr>
        <w:spacing w:after="0" w:line="180" w:lineRule="exact"/>
        <w:rPr>
          <w:sz w:val="20"/>
          <w:szCs w:val="20"/>
          <w:color w:val="auto"/>
        </w:rPr>
      </w:pPr>
    </w:p>
    <w:p>
      <w:pPr>
        <w:ind w:left="500"/>
        <w:spacing w:after="0"/>
        <w:tabs>
          <w:tab w:leader="none" w:pos="960" w:val="left"/>
        </w:tabs>
        <w:rPr>
          <w:sz w:val="20"/>
          <w:szCs w:val="20"/>
          <w:color w:val="auto"/>
        </w:rPr>
      </w:pPr>
      <w:r>
        <w:rPr>
          <w:rFonts w:ascii="Arial" w:cs="Arial" w:eastAsia="Arial" w:hAnsi="Arial"/>
          <w:sz w:val="18"/>
          <w:szCs w:val="18"/>
          <w:b w:val="1"/>
          <w:bCs w:val="1"/>
          <w:color w:val="auto"/>
        </w:rPr>
        <w:t>17.2</w:t>
      </w:r>
      <w:r>
        <w:rPr>
          <w:sz w:val="20"/>
          <w:szCs w:val="20"/>
          <w:color w:val="auto"/>
        </w:rPr>
        <w:tab/>
      </w:r>
      <w:r>
        <w:rPr>
          <w:rFonts w:ascii="Arial" w:cs="Arial" w:eastAsia="Arial" w:hAnsi="Arial"/>
          <w:sz w:val="17"/>
          <w:szCs w:val="17"/>
          <w:b w:val="1"/>
          <w:bCs w:val="1"/>
          <w:color w:val="auto"/>
        </w:rPr>
        <w:t>Liquidity risk</w:t>
      </w:r>
    </w:p>
    <w:p>
      <w:pPr>
        <w:spacing w:after="0" w:line="229" w:lineRule="exact"/>
        <w:rPr>
          <w:sz w:val="20"/>
          <w:szCs w:val="20"/>
          <w:color w:val="auto"/>
        </w:rPr>
      </w:pPr>
    </w:p>
    <w:p>
      <w:pPr>
        <w:jc w:val="both"/>
        <w:ind w:left="500"/>
        <w:spacing w:after="0" w:line="286" w:lineRule="auto"/>
        <w:rPr>
          <w:sz w:val="20"/>
          <w:szCs w:val="20"/>
          <w:color w:val="auto"/>
        </w:rPr>
      </w:pPr>
      <w:r>
        <w:rPr>
          <w:rFonts w:ascii="Arial" w:cs="Arial" w:eastAsia="Arial" w:hAnsi="Arial"/>
          <w:sz w:val="17"/>
          <w:szCs w:val="17"/>
          <w:color w:val="auto"/>
        </w:rPr>
        <w:t>Liquidity refers to the Bank’s ability to maintain adequate cash flows to fund operations and meet obligations and other commitments on a timely basis. The Bank maintains its liquid assets mainly in demand deposits, overnight funds and time deposits with well-known international banks. These liquid assets are adequate to cover 24-hour deposits from customers, which theoretically could be withdrawn on the same day.</w:t>
      </w:r>
    </w:p>
    <w:p>
      <w:pPr>
        <w:spacing w:after="0" w:line="166" w:lineRule="exact"/>
        <w:rPr>
          <w:sz w:val="20"/>
          <w:szCs w:val="20"/>
          <w:color w:val="auto"/>
        </w:rPr>
      </w:pPr>
    </w:p>
    <w:p>
      <w:pPr>
        <w:jc w:val="both"/>
        <w:ind w:left="500"/>
        <w:spacing w:after="0" w:line="276" w:lineRule="auto"/>
        <w:rPr>
          <w:sz w:val="20"/>
          <w:szCs w:val="20"/>
          <w:color w:val="auto"/>
        </w:rPr>
      </w:pPr>
      <w:r>
        <w:rPr>
          <w:rFonts w:ascii="Arial" w:cs="Arial" w:eastAsia="Arial" w:hAnsi="Arial"/>
          <w:sz w:val="17"/>
          <w:szCs w:val="17"/>
          <w:color w:val="auto"/>
        </w:rPr>
        <w:t>As established by the Bank’s liquidity policy, the Bank’s liquid assets are held in the form of interbank deposits with reputable international banks that have A1, P1, or F1 ratings from two of the major internationally – recognized rating agencies and are primarily located outside of the Region. These banks must have a correspondent relationship with the Bank. In addition, the Bank’s liquidity policy allows for investing in negotiable money market instruments, including Euro certificates of deposit, commercial paper, bankers’ acceptances and other liquid instruments with maturities of up to three years. These instruments must be of investment grade quality “A” or better and must have a liquid secondary market.</w:t>
      </w:r>
    </w:p>
    <w:p>
      <w:pPr>
        <w:spacing w:after="0" w:line="173" w:lineRule="exact"/>
        <w:rPr>
          <w:sz w:val="20"/>
          <w:szCs w:val="20"/>
          <w:color w:val="auto"/>
        </w:rPr>
      </w:pPr>
    </w:p>
    <w:p>
      <w:pPr>
        <w:jc w:val="both"/>
        <w:ind w:left="500"/>
        <w:spacing w:after="0" w:line="255" w:lineRule="auto"/>
        <w:rPr>
          <w:sz w:val="20"/>
          <w:szCs w:val="20"/>
          <w:color w:val="auto"/>
        </w:rPr>
      </w:pPr>
      <w:r>
        <w:rPr>
          <w:rFonts w:ascii="Arial" w:cs="Arial" w:eastAsia="Arial" w:hAnsi="Arial"/>
          <w:sz w:val="18"/>
          <w:szCs w:val="18"/>
          <w:color w:val="auto"/>
        </w:rPr>
        <w:t>The Bank performs daily reviews, controls and periodic stress tests on its liquidity position, including the application of a series of limits to restrict its overall liquidity risk and to monitor the liquidity level according to the macroeconomic environment. The Bank determines the level of liquid assets to be held on a daily basis, adopting a Liquidity Coverage Ratio methodology referencing the Basel Committee guidelines. Additionally, specific limits have been established to control (1) cumulative maturity “gaps” between assets and liabilities, for each maturity classification presented in the Bank’s internal liquidity reports, and (2) concentrations of deposits taken from any client or economic group maturing in one day and total maximum deposits maturing in one day.</w:t>
      </w:r>
    </w:p>
    <w:p>
      <w:pPr>
        <w:spacing w:after="0" w:line="193" w:lineRule="exact"/>
        <w:rPr>
          <w:sz w:val="20"/>
          <w:szCs w:val="20"/>
          <w:color w:val="auto"/>
        </w:rPr>
      </w:pPr>
    </w:p>
    <w:p>
      <w:pPr>
        <w:jc w:val="both"/>
        <w:ind w:left="500"/>
        <w:spacing w:after="0" w:line="259" w:lineRule="auto"/>
        <w:rPr>
          <w:sz w:val="20"/>
          <w:szCs w:val="20"/>
          <w:color w:val="auto"/>
        </w:rPr>
      </w:pPr>
      <w:r>
        <w:rPr>
          <w:rFonts w:ascii="Arial" w:cs="Arial" w:eastAsia="Arial" w:hAnsi="Arial"/>
          <w:sz w:val="18"/>
          <w:szCs w:val="18"/>
          <w:color w:val="auto"/>
        </w:rPr>
        <w:t>The Bank follows a Contingent Liquidity Plan. The plan contemplates the regular monitoring of several quantified internal and external reference benchmarks (such as deposit level, quality of assets, Emerging Markets Bonds Index Plus, cost of funds, LIBOR-OIS spread and market interest rates), which in cases of high volatility would trigger implementation of a series of precautionary measures to reinforce the Bank’s liquidity position. In the Bank’s opinion, its liquidity position is adequate for the Bank’s present requirements.</w:t>
      </w:r>
    </w:p>
    <w:p>
      <w:pPr>
        <w:spacing w:after="0" w:line="187"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4" w:name="page65"/>
    <w:bookmarkEnd w:id="64"/>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17.2  Liquidity risk (continued)</w:t>
      </w:r>
    </w:p>
    <w:p>
      <w:pPr>
        <w:spacing w:after="0" w:line="229"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While the Bank’s liabilities generally mature over somewhat shorter periods than its assets, the associated liquidity risk is diminished by the short-term nature of the loan portfolio, as the Bank is engaged primarily in the financing of foreign trade.</w:t>
      </w:r>
    </w:p>
    <w:p>
      <w:pPr>
        <w:spacing w:after="0" w:line="170" w:lineRule="exact"/>
        <w:rPr>
          <w:rFonts w:ascii="Arial" w:cs="Arial" w:eastAsia="Arial" w:hAnsi="Arial"/>
          <w:sz w:val="18"/>
          <w:szCs w:val="18"/>
          <w:b w:val="1"/>
          <w:bCs w:val="1"/>
          <w:color w:val="auto"/>
        </w:rPr>
      </w:pP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details the Banks’s assets and liabilities grouped by its remaining maturity with respect to the contractual maturity:</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0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320" w:type="dxa"/>
            <w:vAlign w:val="bottom"/>
            <w:tcBorders>
              <w:bottom w:val="single" w:sz="8" w:color="auto"/>
            </w:tcBorders>
            <w:gridSpan w:val="6"/>
          </w:tcPr>
          <w:p>
            <w:pPr>
              <w:jc w:val="right"/>
              <w:ind w:right="1040"/>
              <w:spacing w:after="0"/>
              <w:rPr>
                <w:sz w:val="20"/>
                <w:szCs w:val="20"/>
                <w:color w:val="auto"/>
              </w:rPr>
            </w:pPr>
            <w:r>
              <w:rPr>
                <w:rFonts w:ascii="Arial" w:cs="Arial" w:eastAsia="Arial" w:hAnsi="Arial"/>
                <w:sz w:val="18"/>
                <w:szCs w:val="18"/>
                <w:b w:val="1"/>
                <w:bCs w:val="1"/>
                <w:color w:val="auto"/>
              </w:rPr>
              <w:t>September 30, 2016</w:t>
            </w: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40" w:type="dxa"/>
            <w:vAlign w:val="bottom"/>
            <w:vMerge w:val="restart"/>
          </w:tcPr>
          <w:p>
            <w:pPr>
              <w:ind w:left="152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right"/>
              <w:ind w:right="280"/>
              <w:spacing w:after="0" w:line="191" w:lineRule="exact"/>
              <w:rPr>
                <w:sz w:val="20"/>
                <w:szCs w:val="20"/>
                <w:color w:val="auto"/>
              </w:rPr>
            </w:pPr>
            <w:r>
              <w:rPr>
                <w:rFonts w:ascii="Arial" w:cs="Arial" w:eastAsia="Arial" w:hAnsi="Arial"/>
                <w:sz w:val="18"/>
                <w:szCs w:val="18"/>
                <w:b w:val="1"/>
                <w:bCs w:val="1"/>
                <w:color w:val="auto"/>
              </w:rPr>
              <w:t>Up to 3</w:t>
            </w:r>
          </w:p>
        </w:tc>
        <w:tc>
          <w:tcPr>
            <w:tcW w:w="1040" w:type="dxa"/>
            <w:vAlign w:val="bottom"/>
            <w:gridSpan w:val="2"/>
          </w:tcPr>
          <w:p>
            <w:pPr>
              <w:jc w:val="right"/>
              <w:ind w:right="420"/>
              <w:spacing w:after="0" w:line="191" w:lineRule="exact"/>
              <w:rPr>
                <w:sz w:val="20"/>
                <w:szCs w:val="20"/>
                <w:color w:val="auto"/>
              </w:rPr>
            </w:pPr>
            <w:r>
              <w:rPr>
                <w:rFonts w:ascii="Arial" w:cs="Arial" w:eastAsia="Arial" w:hAnsi="Arial"/>
                <w:sz w:val="18"/>
                <w:szCs w:val="18"/>
                <w:b w:val="1"/>
                <w:bCs w:val="1"/>
                <w:color w:val="auto"/>
              </w:rPr>
              <w:t>3 to 6</w:t>
            </w:r>
          </w:p>
        </w:tc>
        <w:tc>
          <w:tcPr>
            <w:tcW w:w="1060" w:type="dxa"/>
            <w:vAlign w:val="bottom"/>
            <w:gridSpan w:val="2"/>
          </w:tcPr>
          <w:p>
            <w:pPr>
              <w:jc w:val="right"/>
              <w:ind w:right="200"/>
              <w:spacing w:after="0" w:line="191" w:lineRule="exact"/>
              <w:rPr>
                <w:sz w:val="20"/>
                <w:szCs w:val="20"/>
                <w:color w:val="auto"/>
              </w:rPr>
            </w:pPr>
            <w:r>
              <w:rPr>
                <w:rFonts w:ascii="Arial" w:cs="Arial" w:eastAsia="Arial" w:hAnsi="Arial"/>
                <w:sz w:val="18"/>
                <w:szCs w:val="18"/>
                <w:b w:val="1"/>
                <w:bCs w:val="1"/>
                <w:color w:val="auto"/>
                <w:w w:val="94"/>
              </w:rPr>
              <w:t>6 months</w:t>
            </w:r>
          </w:p>
        </w:tc>
        <w:tc>
          <w:tcPr>
            <w:tcW w:w="1060" w:type="dxa"/>
            <w:vAlign w:val="bottom"/>
            <w:gridSpan w:val="2"/>
          </w:tcPr>
          <w:p>
            <w:pPr>
              <w:jc w:val="right"/>
              <w:ind w:right="440"/>
              <w:spacing w:after="0" w:line="191" w:lineRule="exact"/>
              <w:rPr>
                <w:sz w:val="20"/>
                <w:szCs w:val="20"/>
                <w:color w:val="auto"/>
              </w:rPr>
            </w:pPr>
            <w:r>
              <w:rPr>
                <w:rFonts w:ascii="Arial" w:cs="Arial" w:eastAsia="Arial" w:hAnsi="Arial"/>
                <w:sz w:val="18"/>
                <w:szCs w:val="18"/>
                <w:b w:val="1"/>
                <w:bCs w:val="1"/>
                <w:color w:val="auto"/>
              </w:rPr>
              <w:t>1 to 5</w:t>
            </w:r>
          </w:p>
        </w:tc>
        <w:tc>
          <w:tcPr>
            <w:tcW w:w="1200" w:type="dxa"/>
            <w:vAlign w:val="bottom"/>
            <w:gridSpan w:val="2"/>
          </w:tcPr>
          <w:p>
            <w:pPr>
              <w:jc w:val="right"/>
              <w:ind w:right="240"/>
              <w:spacing w:after="0" w:line="191" w:lineRule="exact"/>
              <w:rPr>
                <w:sz w:val="20"/>
                <w:szCs w:val="20"/>
                <w:color w:val="auto"/>
              </w:rPr>
            </w:pPr>
            <w:r>
              <w:rPr>
                <w:rFonts w:ascii="Arial" w:cs="Arial" w:eastAsia="Arial" w:hAnsi="Arial"/>
                <w:sz w:val="18"/>
                <w:szCs w:val="18"/>
                <w:b w:val="1"/>
                <w:bCs w:val="1"/>
                <w:color w:val="auto"/>
                <w:w w:val="93"/>
              </w:rPr>
              <w:t>More than 5</w:t>
            </w:r>
          </w:p>
        </w:tc>
        <w:tc>
          <w:tcPr>
            <w:tcW w:w="1000" w:type="dxa"/>
            <w:vAlign w:val="bottom"/>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40" w:type="dxa"/>
            <w:vAlign w:val="bottom"/>
            <w:vMerge w:val="continue"/>
          </w:tcPr>
          <w:p>
            <w:pPr>
              <w:spacing w:after="0"/>
              <w:rPr>
                <w:sz w:val="20"/>
                <w:szCs w:val="20"/>
                <w:color w:val="auto"/>
              </w:rPr>
            </w:pPr>
          </w:p>
        </w:tc>
        <w:tc>
          <w:tcPr>
            <w:tcW w:w="106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rPr>
              <w:t>months</w:t>
            </w:r>
          </w:p>
        </w:tc>
        <w:tc>
          <w:tcPr>
            <w:tcW w:w="10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months</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to 1 year</w:t>
            </w:r>
          </w:p>
        </w:tc>
        <w:tc>
          <w:tcPr>
            <w:tcW w:w="10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years</w:t>
            </w:r>
          </w:p>
        </w:tc>
        <w:tc>
          <w:tcPr>
            <w:tcW w:w="12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years</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8"/>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754,876</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754,876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28</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1,025</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3,000</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112,174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29,025</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(655)</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144,597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2,222,061</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1,442,788</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1,046,878</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1,640,781</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40,874</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6,393,382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(887)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(1,349)</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(479)</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(5,184)</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(796)</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(8,695)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(106,335)</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(106,335)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33,087</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10,773</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4,816</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31,272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1,397</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27,910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109,255</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04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3,009,165</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1,453,237</w:t>
            </w:r>
          </w:p>
        </w:tc>
        <w:tc>
          <w:tcPr>
            <w:tcW w:w="20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1,054,215</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1,779,043</w:t>
            </w:r>
          </w:p>
        </w:tc>
        <w:tc>
          <w:tcPr>
            <w:tcW w:w="220" w:type="dxa"/>
            <w:vAlign w:val="bottom"/>
            <w:tcBorders>
              <w:bottom w:val="single" w:sz="8" w:color="CCEEFF"/>
            </w:tcBorders>
          </w:tcPr>
          <w:p>
            <w:pPr>
              <w:spacing w:after="0"/>
              <w:rPr>
                <w:sz w:val="22"/>
                <w:szCs w:val="22"/>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70,500</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(79,080</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7,287,080</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04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40" w:type="dxa"/>
            <w:vAlign w:val="bottom"/>
            <w:shd w:val="clear" w:color="auto" w:fill="CCEEFF"/>
          </w:tcPr>
          <w:p>
            <w:pPr>
              <w:spacing w:after="0"/>
              <w:rPr>
                <w:sz w:val="20"/>
                <w:szCs w:val="20"/>
                <w:color w:val="auto"/>
              </w:rPr>
            </w:pPr>
            <w:r>
              <w:rPr>
                <w:rFonts w:ascii="Arial" w:cs="Arial" w:eastAsia="Arial" w:hAnsi="Arial"/>
                <w:sz w:val="18"/>
                <w:szCs w:val="18"/>
                <w:color w:val="auto"/>
              </w:rPr>
              <w:t>Deposits in banks</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2,154,085</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272,549</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458,804</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240,567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3,126,005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40" w:type="dxa"/>
            <w:vAlign w:val="bottom"/>
          </w:tcPr>
          <w:p>
            <w:pPr>
              <w:spacing w:after="0"/>
              <w:rPr>
                <w:sz w:val="20"/>
                <w:szCs w:val="20"/>
                <w:color w:val="auto"/>
              </w:rPr>
            </w:pPr>
            <w:r>
              <w:rPr>
                <w:rFonts w:ascii="Arial" w:cs="Arial" w:eastAsia="Arial" w:hAnsi="Arial"/>
                <w:sz w:val="18"/>
                <w:szCs w:val="18"/>
                <w:color w:val="auto"/>
              </w:rPr>
              <w:t>Other liabilities</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864,520</w:t>
            </w: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274,381</w:t>
            </w:r>
          </w:p>
        </w:tc>
        <w:tc>
          <w:tcPr>
            <w:tcW w:w="1060" w:type="dxa"/>
            <w:vAlign w:val="bottom"/>
            <w:gridSpan w:val="2"/>
          </w:tcPr>
          <w:p>
            <w:pPr>
              <w:jc w:val="right"/>
              <w:ind w:right="140"/>
              <w:spacing w:after="0"/>
              <w:rPr>
                <w:sz w:val="20"/>
                <w:szCs w:val="20"/>
                <w:color w:val="auto"/>
              </w:rPr>
            </w:pPr>
            <w:r>
              <w:rPr>
                <w:rFonts w:ascii="Arial" w:cs="Arial" w:eastAsia="Arial" w:hAnsi="Arial"/>
                <w:sz w:val="18"/>
                <w:szCs w:val="18"/>
                <w:color w:val="auto"/>
              </w:rPr>
              <w:t>626,844</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1,320,580</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63,879</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3,151,704</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3,018,605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546,930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1,085,648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1,561,147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63,879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6,276,209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40" w:type="dxa"/>
            <w:vAlign w:val="bottom"/>
            <w:vMerge w:val="restart"/>
          </w:tcPr>
          <w:p>
            <w:pPr>
              <w:spacing w:after="0"/>
              <w:rPr>
                <w:sz w:val="20"/>
                <w:szCs w:val="20"/>
                <w:color w:val="auto"/>
              </w:rPr>
            </w:pPr>
            <w:r>
              <w:rPr>
                <w:rFonts w:ascii="Arial" w:cs="Arial" w:eastAsia="Arial" w:hAnsi="Arial"/>
                <w:sz w:val="18"/>
                <w:szCs w:val="18"/>
                <w:b w:val="1"/>
                <w:bCs w:val="1"/>
                <w:color w:val="auto"/>
              </w:rPr>
              <w:t>Net position</w:t>
            </w:r>
          </w:p>
        </w:tc>
        <w:tc>
          <w:tcPr>
            <w:tcW w:w="8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tcPr>
          <w:p>
            <w:pPr>
              <w:spacing w:after="0"/>
              <w:rPr>
                <w:sz w:val="17"/>
                <w:szCs w:val="17"/>
                <w:color w:val="auto"/>
              </w:rPr>
            </w:pPr>
          </w:p>
        </w:tc>
        <w:tc>
          <w:tcPr>
            <w:tcW w:w="404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(9,440</w:t>
            </w:r>
          </w:p>
        </w:tc>
        <w:tc>
          <w:tcPr>
            <w:tcW w:w="22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906,307</w:t>
            </w:r>
          </w:p>
        </w:tc>
        <w:tc>
          <w:tcPr>
            <w:tcW w:w="20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(31,433</w:t>
            </w:r>
          </w:p>
        </w:tc>
        <w:tc>
          <w:tcPr>
            <w:tcW w:w="22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217,896</w:t>
            </w:r>
          </w:p>
        </w:tc>
        <w:tc>
          <w:tcPr>
            <w:tcW w:w="220" w:type="dxa"/>
            <w:vAlign w:val="bottom"/>
            <w:vMerge w:val="continue"/>
          </w:tcPr>
          <w:p>
            <w:pPr>
              <w:spacing w:after="0"/>
              <w:rPr>
                <w:sz w:val="17"/>
                <w:szCs w:val="17"/>
                <w:color w:val="auto"/>
              </w:rPr>
            </w:pPr>
          </w:p>
        </w:tc>
        <w:tc>
          <w:tcPr>
            <w:tcW w:w="9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6,621</w:t>
            </w:r>
          </w:p>
        </w:tc>
        <w:tc>
          <w:tcPr>
            <w:tcW w:w="220" w:type="dxa"/>
            <w:vAlign w:val="bottom"/>
            <w:vMerge w:val="continue"/>
          </w:tcPr>
          <w:p>
            <w:pPr>
              <w:spacing w:after="0"/>
              <w:rPr>
                <w:sz w:val="17"/>
                <w:szCs w:val="17"/>
                <w:color w:val="auto"/>
              </w:rPr>
            </w:pPr>
          </w:p>
        </w:tc>
        <w:tc>
          <w:tcPr>
            <w:tcW w:w="7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(79,080</w:t>
            </w:r>
          </w:p>
        </w:tc>
        <w:tc>
          <w:tcPr>
            <w:tcW w:w="220" w:type="dxa"/>
            <w:vAlign w:val="bottom"/>
            <w:vMerge w:val="continue"/>
          </w:tcPr>
          <w:p>
            <w:pPr>
              <w:spacing w:after="0"/>
              <w:rPr>
                <w:sz w:val="17"/>
                <w:szCs w:val="17"/>
                <w:color w:val="auto"/>
              </w:rPr>
            </w:pPr>
          </w:p>
        </w:tc>
        <w:tc>
          <w:tcPr>
            <w:tcW w:w="8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1,010,871</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4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40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color w:val="auto"/>
              </w:rPr>
              <w:t>63</w:t>
            </w:r>
          </w:p>
        </w:tc>
        <w:tc>
          <w:tcPr>
            <w:tcW w:w="2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5" w:name="page66"/>
    <w:bookmarkEnd w:id="65"/>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right="8440" w:hanging="492"/>
        <w:spacing w:after="0" w:line="538" w:lineRule="auto"/>
        <w:tabs>
          <w:tab w:leader="none" w:pos="500" w:val="left"/>
        </w:tabs>
        <w:numPr>
          <w:ilvl w:val="0"/>
          <w:numId w:val="75"/>
        </w:numPr>
        <w:rPr>
          <w:rFonts w:ascii="Arial" w:cs="Arial" w:eastAsia="Arial" w:hAnsi="Arial"/>
          <w:sz w:val="17"/>
          <w:szCs w:val="17"/>
          <w:b w:val="1"/>
          <w:bCs w:val="1"/>
          <w:color w:val="auto"/>
        </w:rPr>
      </w:pPr>
      <w:r>
        <w:rPr>
          <w:rFonts w:ascii="Arial" w:cs="Arial" w:eastAsia="Arial" w:hAnsi="Arial"/>
          <w:sz w:val="17"/>
          <w:szCs w:val="17"/>
          <w:b w:val="1"/>
          <w:bCs w:val="1"/>
          <w:color w:val="auto"/>
        </w:rPr>
        <w:t>Risk management (continued) 17.2 Liquidity risk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08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280" w:type="dxa"/>
            <w:vAlign w:val="bottom"/>
            <w:tcBorders>
              <w:bottom w:val="single" w:sz="8" w:color="auto"/>
            </w:tcBorders>
            <w:gridSpan w:val="6"/>
          </w:tcPr>
          <w:p>
            <w:pPr>
              <w:jc w:val="right"/>
              <w:ind w:right="1040"/>
              <w:spacing w:after="0"/>
              <w:rPr>
                <w:sz w:val="20"/>
                <w:szCs w:val="20"/>
                <w:color w:val="auto"/>
              </w:rPr>
            </w:pPr>
            <w:r>
              <w:rPr>
                <w:rFonts w:ascii="Arial" w:cs="Arial" w:eastAsia="Arial" w:hAnsi="Arial"/>
                <w:sz w:val="18"/>
                <w:szCs w:val="18"/>
                <w:b w:val="1"/>
                <w:bCs w:val="1"/>
                <w:color w:val="auto"/>
              </w:rPr>
              <w:t>December 31, 2015</w:t>
            </w:r>
          </w:p>
        </w:tc>
        <w:tc>
          <w:tcPr>
            <w:tcW w:w="7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80" w:type="dxa"/>
            <w:vAlign w:val="bottom"/>
            <w:vMerge w:val="restart"/>
          </w:tcPr>
          <w:p>
            <w:pPr>
              <w:ind w:left="1540"/>
              <w:spacing w:after="0"/>
              <w:rPr>
                <w:sz w:val="20"/>
                <w:szCs w:val="20"/>
                <w:color w:val="auto"/>
              </w:rPr>
            </w:pPr>
            <w:r>
              <w:rPr>
                <w:rFonts w:ascii="Arial" w:cs="Arial" w:eastAsia="Arial" w:hAnsi="Arial"/>
                <w:sz w:val="18"/>
                <w:szCs w:val="18"/>
                <w:b w:val="1"/>
                <w:bCs w:val="1"/>
                <w:color w:val="auto"/>
              </w:rPr>
              <w:t>Description</w:t>
            </w:r>
          </w:p>
        </w:tc>
        <w:tc>
          <w:tcPr>
            <w:tcW w:w="1060" w:type="dxa"/>
            <w:vAlign w:val="bottom"/>
            <w:gridSpan w:val="2"/>
          </w:tcPr>
          <w:p>
            <w:pPr>
              <w:jc w:val="right"/>
              <w:ind w:right="360"/>
              <w:spacing w:after="0" w:line="191" w:lineRule="exact"/>
              <w:rPr>
                <w:sz w:val="20"/>
                <w:szCs w:val="20"/>
                <w:color w:val="auto"/>
              </w:rPr>
            </w:pPr>
            <w:r>
              <w:rPr>
                <w:rFonts w:ascii="Arial" w:cs="Arial" w:eastAsia="Arial" w:hAnsi="Arial"/>
                <w:sz w:val="18"/>
                <w:szCs w:val="18"/>
                <w:b w:val="1"/>
                <w:bCs w:val="1"/>
                <w:color w:val="auto"/>
              </w:rPr>
              <w:t>Up to 3</w:t>
            </w:r>
          </w:p>
        </w:tc>
        <w:tc>
          <w:tcPr>
            <w:tcW w:w="1040" w:type="dxa"/>
            <w:vAlign w:val="bottom"/>
            <w:gridSpan w:val="2"/>
          </w:tcPr>
          <w:p>
            <w:pPr>
              <w:jc w:val="right"/>
              <w:ind w:right="420"/>
              <w:spacing w:after="0" w:line="191" w:lineRule="exact"/>
              <w:rPr>
                <w:sz w:val="20"/>
                <w:szCs w:val="20"/>
                <w:color w:val="auto"/>
              </w:rPr>
            </w:pPr>
            <w:r>
              <w:rPr>
                <w:rFonts w:ascii="Arial" w:cs="Arial" w:eastAsia="Arial" w:hAnsi="Arial"/>
                <w:sz w:val="18"/>
                <w:szCs w:val="18"/>
                <w:b w:val="1"/>
                <w:bCs w:val="1"/>
                <w:color w:val="auto"/>
              </w:rPr>
              <w:t>3 to 6</w:t>
            </w:r>
          </w:p>
        </w:tc>
        <w:tc>
          <w:tcPr>
            <w:tcW w:w="1060" w:type="dxa"/>
            <w:vAlign w:val="bottom"/>
            <w:gridSpan w:val="2"/>
          </w:tcPr>
          <w:p>
            <w:pPr>
              <w:jc w:val="right"/>
              <w:ind w:right="280"/>
              <w:spacing w:after="0" w:line="191" w:lineRule="exact"/>
              <w:rPr>
                <w:sz w:val="20"/>
                <w:szCs w:val="20"/>
                <w:color w:val="auto"/>
              </w:rPr>
            </w:pPr>
            <w:r>
              <w:rPr>
                <w:rFonts w:ascii="Arial" w:cs="Arial" w:eastAsia="Arial" w:hAnsi="Arial"/>
                <w:sz w:val="18"/>
                <w:szCs w:val="18"/>
                <w:b w:val="1"/>
                <w:bCs w:val="1"/>
                <w:color w:val="auto"/>
                <w:w w:val="94"/>
              </w:rPr>
              <w:t>6 months</w:t>
            </w:r>
          </w:p>
        </w:tc>
        <w:tc>
          <w:tcPr>
            <w:tcW w:w="1060" w:type="dxa"/>
            <w:vAlign w:val="bottom"/>
            <w:gridSpan w:val="2"/>
          </w:tcPr>
          <w:p>
            <w:pPr>
              <w:jc w:val="right"/>
              <w:ind w:right="440"/>
              <w:spacing w:after="0" w:line="191" w:lineRule="exact"/>
              <w:rPr>
                <w:sz w:val="20"/>
                <w:szCs w:val="20"/>
                <w:color w:val="auto"/>
              </w:rPr>
            </w:pPr>
            <w:r>
              <w:rPr>
                <w:rFonts w:ascii="Arial" w:cs="Arial" w:eastAsia="Arial" w:hAnsi="Arial"/>
                <w:sz w:val="18"/>
                <w:szCs w:val="18"/>
                <w:b w:val="1"/>
                <w:bCs w:val="1"/>
                <w:color w:val="auto"/>
              </w:rPr>
              <w:t>1 to 5</w:t>
            </w:r>
          </w:p>
        </w:tc>
        <w:tc>
          <w:tcPr>
            <w:tcW w:w="1160" w:type="dxa"/>
            <w:vAlign w:val="bottom"/>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w w:val="91"/>
              </w:rPr>
              <w:t>More than 5</w:t>
            </w:r>
          </w:p>
        </w:tc>
        <w:tc>
          <w:tcPr>
            <w:tcW w:w="1000" w:type="dxa"/>
            <w:vAlign w:val="bottom"/>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rPr>
              <w:t>Without</w:t>
            </w:r>
          </w:p>
        </w:tc>
        <w:tc>
          <w:tcPr>
            <w:tcW w:w="8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80" w:type="dxa"/>
            <w:vAlign w:val="bottom"/>
            <w:vMerge w:val="continue"/>
          </w:tcPr>
          <w:p>
            <w:pPr>
              <w:spacing w:after="0"/>
              <w:rPr>
                <w:sz w:val="20"/>
                <w:szCs w:val="20"/>
                <w:color w:val="auto"/>
              </w:rPr>
            </w:pPr>
          </w:p>
        </w:tc>
        <w:tc>
          <w:tcPr>
            <w:tcW w:w="10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months</w:t>
            </w:r>
          </w:p>
        </w:tc>
        <w:tc>
          <w:tcPr>
            <w:tcW w:w="104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months</w:t>
            </w:r>
          </w:p>
        </w:tc>
        <w:tc>
          <w:tcPr>
            <w:tcW w:w="106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9"/>
              </w:rPr>
              <w:t>to 1 year</w:t>
            </w:r>
          </w:p>
        </w:tc>
        <w:tc>
          <w:tcPr>
            <w:tcW w:w="106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years</w:t>
            </w:r>
          </w:p>
        </w:tc>
        <w:tc>
          <w:tcPr>
            <w:tcW w:w="116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years</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8"/>
              </w:rPr>
              <w:t>maturity</w:t>
            </w:r>
          </w:p>
        </w:tc>
        <w:tc>
          <w:tcPr>
            <w:tcW w:w="9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840" w:type="dxa"/>
            <w:vAlign w:val="bottom"/>
          </w:tcPr>
          <w:p>
            <w:pPr>
              <w:jc w:val="right"/>
              <w:spacing w:after="0"/>
              <w:rPr>
                <w:sz w:val="20"/>
                <w:szCs w:val="20"/>
                <w:color w:val="auto"/>
              </w:rPr>
            </w:pPr>
            <w:r>
              <w:rPr>
                <w:rFonts w:ascii="Arial" w:cs="Arial" w:eastAsia="Arial" w:hAnsi="Arial"/>
                <w:sz w:val="18"/>
                <w:szCs w:val="18"/>
                <w:color w:val="auto"/>
              </w:rPr>
              <w:t>1,299,966</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1,299,966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Investment securities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22,749</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13,619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12,953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113,613</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87,609</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52,886</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303,429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840" w:type="dxa"/>
            <w:vAlign w:val="bottom"/>
          </w:tcPr>
          <w:p>
            <w:pPr>
              <w:jc w:val="right"/>
              <w:spacing w:after="0"/>
              <w:rPr>
                <w:sz w:val="20"/>
                <w:szCs w:val="20"/>
                <w:color w:val="auto"/>
              </w:rPr>
            </w:pPr>
            <w:r>
              <w:rPr>
                <w:rFonts w:ascii="Arial" w:cs="Arial" w:eastAsia="Arial" w:hAnsi="Arial"/>
                <w:sz w:val="18"/>
                <w:szCs w:val="18"/>
                <w:color w:val="auto"/>
              </w:rPr>
              <w:t>2,390,914</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1,094,889</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1,188,864</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1,973,526</w:t>
            </w:r>
          </w:p>
        </w:tc>
        <w:tc>
          <w:tcPr>
            <w:tcW w:w="22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43,556</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6,691,749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Unearned interest and deferred fees</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(722)</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(1,163)</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(1,477)</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(5,454)</w:t>
            </w:r>
          </w:p>
        </w:tc>
        <w:tc>
          <w:tcPr>
            <w:tcW w:w="11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(488)</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(9,304)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color w:val="auto"/>
              </w:rPr>
              <w:t>Allowance for expected credit losses</w:t>
            </w: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80"/>
              <w:spacing w:after="0"/>
              <w:rPr>
                <w:sz w:val="20"/>
                <w:szCs w:val="20"/>
                <w:color w:val="auto"/>
              </w:rPr>
            </w:pPr>
            <w:r>
              <w:rPr>
                <w:rFonts w:ascii="Arial" w:cs="Arial" w:eastAsia="Arial" w:hAnsi="Arial"/>
                <w:sz w:val="18"/>
                <w:szCs w:val="18"/>
                <w:color w:val="auto"/>
              </w:rPr>
              <w:t>(89,974)</w:t>
            </w:r>
          </w:p>
        </w:tc>
        <w:tc>
          <w:tcPr>
            <w:tcW w:w="940" w:type="dxa"/>
            <w:vAlign w:val="bottom"/>
            <w:gridSpan w:val="2"/>
          </w:tcPr>
          <w:p>
            <w:pPr>
              <w:jc w:val="right"/>
              <w:ind w:right="40"/>
              <w:spacing w:after="0"/>
              <w:rPr>
                <w:sz w:val="20"/>
                <w:szCs w:val="20"/>
                <w:color w:val="auto"/>
              </w:rPr>
            </w:pPr>
            <w:r>
              <w:rPr>
                <w:rFonts w:ascii="Arial" w:cs="Arial" w:eastAsia="Arial" w:hAnsi="Arial"/>
                <w:sz w:val="18"/>
                <w:szCs w:val="18"/>
                <w:color w:val="auto"/>
              </w:rPr>
              <w:t>(89,974)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54,873</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18,889</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4,024</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5,061</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733</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6,770</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90,350</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08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3,767,780</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1,126,234</w:t>
            </w:r>
          </w:p>
        </w:tc>
        <w:tc>
          <w:tcPr>
            <w:tcW w:w="20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1,204,364</w:t>
            </w:r>
          </w:p>
        </w:tc>
        <w:tc>
          <w:tcPr>
            <w:tcW w:w="220" w:type="dxa"/>
            <w:vAlign w:val="bottom"/>
            <w:tcBorders>
              <w:bottom w:val="single" w:sz="8" w:color="CCEEFF"/>
            </w:tcBorders>
          </w:tcPr>
          <w:p>
            <w:pPr>
              <w:spacing w:after="0"/>
              <w:rPr>
                <w:sz w:val="22"/>
                <w:szCs w:val="22"/>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2,086,746</w:t>
            </w:r>
          </w:p>
        </w:tc>
        <w:tc>
          <w:tcPr>
            <w:tcW w:w="220" w:type="dxa"/>
            <w:vAlign w:val="bottom"/>
            <w:tcBorders>
              <w:bottom w:val="single" w:sz="8" w:color="CCEEFF"/>
            </w:tcBorders>
          </w:tcPr>
          <w:p>
            <w:pPr>
              <w:spacing w:after="0"/>
              <w:rPr>
                <w:sz w:val="22"/>
                <w:szCs w:val="22"/>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131,410</w:t>
            </w:r>
          </w:p>
        </w:tc>
        <w:tc>
          <w:tcPr>
            <w:tcW w:w="220" w:type="dxa"/>
            <w:vAlign w:val="bottom"/>
            <w:tcBorders>
              <w:bottom w:val="single" w:sz="8" w:color="CCEEFF"/>
            </w:tcBorders>
          </w:tcPr>
          <w:p>
            <w:pPr>
              <w:spacing w:after="0"/>
              <w:rPr>
                <w:sz w:val="22"/>
                <w:szCs w:val="22"/>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(30,318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8,286,216</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0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8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80" w:type="dxa"/>
            <w:vAlign w:val="bottom"/>
            <w:shd w:val="clear" w:color="auto" w:fill="CCEEFF"/>
          </w:tcPr>
          <w:p>
            <w:pPr>
              <w:ind w:left="60"/>
              <w:spacing w:after="0"/>
              <w:rPr>
                <w:sz w:val="20"/>
                <w:szCs w:val="20"/>
                <w:color w:val="auto"/>
              </w:rPr>
            </w:pPr>
            <w:r>
              <w:rPr>
                <w:rFonts w:ascii="Arial" w:cs="Arial" w:eastAsia="Arial" w:hAnsi="Arial"/>
                <w:sz w:val="18"/>
                <w:szCs w:val="18"/>
                <w:color w:val="auto"/>
              </w:rPr>
              <w:t>Deposits in banks</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2,211,625</w:t>
            </w:r>
          </w:p>
        </w:tc>
        <w:tc>
          <w:tcPr>
            <w:tcW w:w="10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319,995</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263,849</w:t>
            </w:r>
          </w:p>
        </w:tc>
        <w:tc>
          <w:tcPr>
            <w:tcW w:w="8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2,795,469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80" w:type="dxa"/>
            <w:vAlign w:val="bottom"/>
          </w:tcPr>
          <w:p>
            <w:pPr>
              <w:ind w:left="60"/>
              <w:spacing w:after="0"/>
              <w:rPr>
                <w:sz w:val="20"/>
                <w:szCs w:val="20"/>
                <w:color w:val="auto"/>
              </w:rPr>
            </w:pPr>
            <w:r>
              <w:rPr>
                <w:rFonts w:ascii="Arial" w:cs="Arial" w:eastAsia="Arial" w:hAnsi="Arial"/>
                <w:sz w:val="18"/>
                <w:szCs w:val="18"/>
                <w:color w:val="auto"/>
              </w:rPr>
              <w:t>Other liabilities</w:t>
            </w:r>
          </w:p>
        </w:tc>
        <w:tc>
          <w:tcPr>
            <w:tcW w:w="840" w:type="dxa"/>
            <w:vAlign w:val="bottom"/>
          </w:tcPr>
          <w:p>
            <w:pPr>
              <w:jc w:val="right"/>
              <w:spacing w:after="0"/>
              <w:rPr>
                <w:sz w:val="20"/>
                <w:szCs w:val="20"/>
                <w:color w:val="auto"/>
              </w:rPr>
            </w:pPr>
            <w:r>
              <w:rPr>
                <w:rFonts w:ascii="Arial" w:cs="Arial" w:eastAsia="Arial" w:hAnsi="Arial"/>
                <w:sz w:val="18"/>
                <w:szCs w:val="18"/>
                <w:color w:val="auto"/>
              </w:rPr>
              <w:t>1,487,458</w:t>
            </w:r>
          </w:p>
        </w:tc>
        <w:tc>
          <w:tcPr>
            <w:tcW w:w="220" w:type="dxa"/>
            <w:vAlign w:val="bottom"/>
          </w:tcPr>
          <w:p>
            <w:pPr>
              <w:spacing w:after="0"/>
              <w:rPr>
                <w:sz w:val="19"/>
                <w:szCs w:val="19"/>
                <w:color w:val="auto"/>
              </w:rPr>
            </w:pPr>
          </w:p>
        </w:tc>
        <w:tc>
          <w:tcPr>
            <w:tcW w:w="1040" w:type="dxa"/>
            <w:vAlign w:val="bottom"/>
            <w:gridSpan w:val="2"/>
          </w:tcPr>
          <w:p>
            <w:pPr>
              <w:jc w:val="right"/>
              <w:ind w:right="200"/>
              <w:spacing w:after="0"/>
              <w:rPr>
                <w:sz w:val="20"/>
                <w:szCs w:val="20"/>
                <w:color w:val="auto"/>
              </w:rPr>
            </w:pPr>
            <w:r>
              <w:rPr>
                <w:rFonts w:ascii="Arial" w:cs="Arial" w:eastAsia="Arial" w:hAnsi="Arial"/>
                <w:sz w:val="18"/>
                <w:szCs w:val="18"/>
                <w:color w:val="auto"/>
              </w:rPr>
              <w:t>862,141</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471,232</w:t>
            </w:r>
          </w:p>
        </w:tc>
        <w:tc>
          <w:tcPr>
            <w:tcW w:w="840" w:type="dxa"/>
            <w:vAlign w:val="bottom"/>
          </w:tcPr>
          <w:p>
            <w:pPr>
              <w:jc w:val="right"/>
              <w:spacing w:after="0"/>
              <w:rPr>
                <w:sz w:val="20"/>
                <w:szCs w:val="20"/>
                <w:color w:val="auto"/>
              </w:rPr>
            </w:pPr>
            <w:r>
              <w:rPr>
                <w:rFonts w:ascii="Arial" w:cs="Arial" w:eastAsia="Arial" w:hAnsi="Arial"/>
                <w:sz w:val="18"/>
                <w:szCs w:val="18"/>
                <w:color w:val="auto"/>
              </w:rPr>
              <w:t>1,622,937</w:t>
            </w:r>
          </w:p>
        </w:tc>
        <w:tc>
          <w:tcPr>
            <w:tcW w:w="220" w:type="dxa"/>
            <w:vAlign w:val="bottom"/>
          </w:tcPr>
          <w:p>
            <w:pPr>
              <w:spacing w:after="0"/>
              <w:rPr>
                <w:sz w:val="19"/>
                <w:szCs w:val="19"/>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8"/>
                <w:szCs w:val="18"/>
                <w:color w:val="auto"/>
              </w:rPr>
              <w:t>74,475</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573</w:t>
            </w:r>
          </w:p>
        </w:tc>
        <w:tc>
          <w:tcPr>
            <w:tcW w:w="940" w:type="dxa"/>
            <w:vAlign w:val="bottom"/>
            <w:gridSpan w:val="2"/>
          </w:tcPr>
          <w:p>
            <w:pPr>
              <w:jc w:val="right"/>
              <w:ind w:right="100"/>
              <w:spacing w:after="0"/>
              <w:rPr>
                <w:sz w:val="20"/>
                <w:szCs w:val="20"/>
                <w:color w:val="auto"/>
              </w:rPr>
            </w:pPr>
            <w:r>
              <w:rPr>
                <w:rFonts w:ascii="Arial" w:cs="Arial" w:eastAsia="Arial" w:hAnsi="Arial"/>
                <w:sz w:val="18"/>
                <w:szCs w:val="18"/>
                <w:color w:val="auto"/>
              </w:rPr>
              <w:t>4,518,816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3,699,083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1,182,136</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735,081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1,622,937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74,475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7,314,285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0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0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position</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68,697</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b w:val="1"/>
                <w:bCs w:val="1"/>
                <w:color w:val="auto"/>
              </w:rPr>
              <w:t>(55,902)</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469,283</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463,809</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56,935</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b w:val="1"/>
                <w:bCs w:val="1"/>
                <w:color w:val="auto"/>
              </w:rPr>
              <w:t>(30,891)</w:t>
            </w:r>
          </w:p>
        </w:tc>
        <w:tc>
          <w:tcPr>
            <w:tcW w:w="9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971,931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Borders>
              <w:top w:val="single" w:sz="8" w:color="CCEEFF"/>
              <w:bottom w:val="single" w:sz="8" w:color="CCEEFF"/>
            </w:tcBorders>
            <w:vMerge w:val="restart"/>
          </w:tcPr>
          <w:p>
            <w:pPr>
              <w:ind w:left="480"/>
              <w:spacing w:after="0"/>
              <w:rPr>
                <w:sz w:val="20"/>
                <w:szCs w:val="20"/>
                <w:color w:val="auto"/>
              </w:rPr>
            </w:pPr>
            <w:r>
              <w:rPr>
                <w:rFonts w:ascii="Arial" w:cs="Arial" w:eastAsia="Arial" w:hAnsi="Arial"/>
                <w:sz w:val="18"/>
                <w:szCs w:val="18"/>
                <w:b w:val="1"/>
                <w:bCs w:val="1"/>
                <w:color w:val="auto"/>
              </w:rPr>
              <w:t>17.3  Market risk</w:t>
            </w: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0" w:type="dxa"/>
            <w:vAlign w:val="bottom"/>
          </w:tcPr>
          <w:p>
            <w:pPr>
              <w:spacing w:after="0"/>
              <w:rPr>
                <w:sz w:val="24"/>
                <w:szCs w:val="24"/>
                <w:color w:val="auto"/>
              </w:rPr>
            </w:pPr>
          </w:p>
        </w:tc>
        <w:tc>
          <w:tcPr>
            <w:tcW w:w="4080" w:type="dxa"/>
            <w:vAlign w:val="bottom"/>
            <w:vMerge w:val="continue"/>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ind w:left="500"/>
        <w:spacing w:after="0" w:line="272" w:lineRule="auto"/>
        <w:rPr>
          <w:sz w:val="20"/>
          <w:szCs w:val="20"/>
          <w:color w:val="auto"/>
        </w:rPr>
      </w:pPr>
      <w:r>
        <w:rPr>
          <w:rFonts w:ascii="Arial" w:cs="Arial" w:eastAsia="Arial" w:hAnsi="Arial"/>
          <w:sz w:val="17"/>
          <w:szCs w:val="17"/>
          <w:color w:val="auto"/>
        </w:rPr>
        <w:t>Market risk generally represents the risk that values of assets and liabilities or revenues will be adversely affected by changes in market conditions. Market risk is inherent in the financial instruments associated with many of the Bank’s operations and activities, including loans, deposits, investment and financial instruments at FVTPL, short- and long-term borrowings and debt, derivatives and trading positions. Among many other market conditions that may shift from time to time are fluctuations in interest rates and currency exchange rates, changes in the implied volatility of interest rates and changes in securities prices, due to changes in either market perception or actual credit quality of either the relevant issuer or its country of origin. Accordingly, depending on the instruments or activities impacted, market risks can have wide ranging, complex adverse effects on the Bank’s financial condition, results of operations, cash flows and business.</w:t>
      </w:r>
    </w:p>
    <w:p>
      <w:pPr>
        <w:spacing w:after="0" w:line="394"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17.3 Market risk (continued) Interest rate risk</w:t>
      </w:r>
    </w:p>
    <w:p>
      <w:pPr>
        <w:jc w:val="both"/>
        <w:ind w:left="50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The Bank endeavors to manage its assets and liabilities in order to reduce the potential adverse effects on the net interest income that could be produced by interest rate changes. The Bank’s interest rate risk is the exposure of earnings (current and potential) and capital to adverse changes in interest rates and is managed by attempting to match the term and repricing characteristics of the Bank’s interest rate sensitive assets and liabilities.</w:t>
      </w:r>
    </w:p>
    <w:p>
      <w:pPr>
        <w:spacing w:after="0" w:line="146" w:lineRule="exact"/>
        <w:rPr>
          <w:rFonts w:ascii="Arial" w:cs="Arial" w:eastAsia="Arial" w:hAnsi="Arial"/>
          <w:sz w:val="18"/>
          <w:szCs w:val="18"/>
          <w:b w:val="1"/>
          <w:bCs w:val="1"/>
          <w:color w:val="auto"/>
        </w:rPr>
      </w:pPr>
    </w:p>
    <w:p>
      <w:pPr>
        <w:jc w:val="both"/>
        <w:ind w:left="50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Bank’s interest rate risk typically arises from the Bank’s liability sensitive short-term position, which means that the Bank’s interest-bearing liabilities tend to reprice more quickly than the Bank’s interest-earning assets. This is offset by the short-term nature of the Bank’s interest-earning assets, namely liquid assets and loan portfolio, and the fact that most of the assets and liabilities pricing is based on short-term market rates (LIBOR-based) with contractual re-pricing schedules for longer term transactions. As a result, there is a potential adverse impact on the Bank’s net interest income from interest rate increases in the very short term. The Bank’s policy with respect to interest rate risk provides that the Bank establishes limits with regards to: (1) changes in net interest income due to a potential impact, given certain movements in interest rates and (2) changes in the amount of available equity funds of the Bank, given a one basis point movement in interest rates. Most of the Bank’s assets and most of its liabilities are denominated in US American Dollars and hence the Bank does not incur a significant currency exchange risk. The currency exchange rate risk is mitigated by the use of derivatives, which, although perfectly covered economically, may generate a certain accounting volatility.</w:t>
      </w:r>
    </w:p>
    <w:p>
      <w:pPr>
        <w:spacing w:after="0" w:line="166" w:lineRule="exact"/>
        <w:rPr>
          <w:rFonts w:ascii="Arial" w:cs="Arial" w:eastAsia="Arial" w:hAnsi="Arial"/>
          <w:sz w:val="18"/>
          <w:szCs w:val="18"/>
          <w:b w:val="1"/>
          <w:bCs w:val="1"/>
          <w:color w:val="auto"/>
        </w:rPr>
      </w:pPr>
    </w:p>
    <w:p>
      <w:pPr>
        <w:ind w:left="5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summary table presents a sensitivity analysis of the effect on the Bank’s results of operations derived from a reasonable variation in interest rates which its financial obligations are subject to, based on change in points.</w:t>
      </w:r>
    </w:p>
    <w:p>
      <w:pPr>
        <w:spacing w:after="0" w:line="170" w:lineRule="exact"/>
        <w:rPr>
          <w:sz w:val="20"/>
          <w:szCs w:val="20"/>
          <w:color w:val="auto"/>
        </w:rPr>
      </w:pPr>
    </w:p>
    <w:tbl>
      <w:tblPr>
        <w:tblLayout w:type="fixed"/>
        <w:tblInd w:w="1960" w:type="dxa"/>
        <w:tblCellMar>
          <w:top w:w="0" w:type="dxa"/>
          <w:left w:w="0" w:type="dxa"/>
          <w:bottom w:w="0" w:type="dxa"/>
          <w:right w:w="0" w:type="dxa"/>
        </w:tblCellMar>
      </w:tblPr>
      <w:tr>
        <w:trPr>
          <w:trHeight w:val="216"/>
        </w:trPr>
        <w:tc>
          <w:tcPr>
            <w:tcW w:w="3160" w:type="dxa"/>
            <w:vAlign w:val="bottom"/>
          </w:tcPr>
          <w:p>
            <w:pPr>
              <w:spacing w:after="0"/>
              <w:rPr>
                <w:sz w:val="18"/>
                <w:szCs w:val="18"/>
                <w:color w:val="auto"/>
              </w:rPr>
            </w:pPr>
          </w:p>
        </w:tc>
        <w:tc>
          <w:tcPr>
            <w:tcW w:w="4240" w:type="dxa"/>
            <w:vAlign w:val="bottom"/>
          </w:tcPr>
          <w:p>
            <w:pPr>
              <w:jc w:val="center"/>
              <w:spacing w:after="0"/>
              <w:rPr>
                <w:sz w:val="20"/>
                <w:szCs w:val="20"/>
                <w:color w:val="auto"/>
              </w:rPr>
            </w:pPr>
            <w:r>
              <w:rPr>
                <w:rFonts w:ascii="Arial" w:cs="Arial" w:eastAsia="Arial" w:hAnsi="Arial"/>
                <w:sz w:val="18"/>
                <w:szCs w:val="18"/>
                <w:color w:val="auto"/>
                <w:w w:val="90"/>
              </w:rPr>
              <w:t>Change in</w:t>
            </w:r>
          </w:p>
        </w:tc>
        <w:tc>
          <w:tcPr>
            <w:tcW w:w="1500" w:type="dxa"/>
            <w:vAlign w:val="bottom"/>
            <w:gridSpan w:val="2"/>
          </w:tcPr>
          <w:p>
            <w:pPr>
              <w:jc w:val="center"/>
              <w:ind w:right="40"/>
              <w:spacing w:after="0"/>
              <w:rPr>
                <w:sz w:val="20"/>
                <w:szCs w:val="20"/>
                <w:color w:val="auto"/>
              </w:rPr>
            </w:pPr>
            <w:r>
              <w:rPr>
                <w:rFonts w:ascii="Arial" w:cs="Arial" w:eastAsia="Arial" w:hAnsi="Arial"/>
                <w:sz w:val="18"/>
                <w:szCs w:val="18"/>
                <w:color w:val="auto"/>
                <w:w w:val="92"/>
              </w:rPr>
              <w:t>Effect on</w:t>
            </w:r>
          </w:p>
        </w:tc>
        <w:tc>
          <w:tcPr>
            <w:tcW w:w="0" w:type="dxa"/>
            <w:vAlign w:val="bottom"/>
          </w:tcPr>
          <w:p>
            <w:pPr>
              <w:spacing w:after="0"/>
              <w:rPr>
                <w:sz w:val="1"/>
                <w:szCs w:val="1"/>
                <w:color w:val="auto"/>
              </w:rPr>
            </w:pPr>
          </w:p>
        </w:tc>
      </w:tr>
      <w:tr>
        <w:trPr>
          <w:trHeight w:val="230"/>
        </w:trPr>
        <w:tc>
          <w:tcPr>
            <w:tcW w:w="3160" w:type="dxa"/>
            <w:vAlign w:val="bottom"/>
          </w:tcPr>
          <w:p>
            <w:pPr>
              <w:spacing w:after="0"/>
              <w:rPr>
                <w:sz w:val="20"/>
                <w:szCs w:val="20"/>
                <w:color w:val="auto"/>
              </w:rPr>
            </w:pPr>
          </w:p>
        </w:tc>
        <w:tc>
          <w:tcPr>
            <w:tcW w:w="4240" w:type="dxa"/>
            <w:vAlign w:val="bottom"/>
          </w:tcPr>
          <w:p>
            <w:pPr>
              <w:jc w:val="center"/>
              <w:spacing w:after="0"/>
              <w:rPr>
                <w:sz w:val="20"/>
                <w:szCs w:val="20"/>
                <w:color w:val="auto"/>
              </w:rPr>
            </w:pPr>
            <w:r>
              <w:rPr>
                <w:rFonts w:ascii="Arial" w:cs="Arial" w:eastAsia="Arial" w:hAnsi="Arial"/>
                <w:sz w:val="18"/>
                <w:szCs w:val="18"/>
                <w:color w:val="auto"/>
                <w:w w:val="88"/>
              </w:rPr>
              <w:t>interest rate</w:t>
            </w:r>
          </w:p>
        </w:tc>
        <w:tc>
          <w:tcPr>
            <w:tcW w:w="1500" w:type="dxa"/>
            <w:vAlign w:val="bottom"/>
            <w:gridSpan w:val="2"/>
          </w:tcPr>
          <w:p>
            <w:pPr>
              <w:jc w:val="center"/>
              <w:spacing w:after="0"/>
              <w:rPr>
                <w:sz w:val="20"/>
                <w:szCs w:val="20"/>
                <w:color w:val="auto"/>
              </w:rPr>
            </w:pPr>
            <w:r>
              <w:rPr>
                <w:rFonts w:ascii="Arial" w:cs="Arial" w:eastAsia="Arial" w:hAnsi="Arial"/>
                <w:sz w:val="18"/>
                <w:szCs w:val="18"/>
                <w:color w:val="auto"/>
                <w:w w:val="92"/>
              </w:rPr>
              <w:t>income</w:t>
            </w:r>
          </w:p>
        </w:tc>
        <w:tc>
          <w:tcPr>
            <w:tcW w:w="0" w:type="dxa"/>
            <w:vAlign w:val="bottom"/>
          </w:tcPr>
          <w:p>
            <w:pPr>
              <w:spacing w:after="0"/>
              <w:rPr>
                <w:sz w:val="1"/>
                <w:szCs w:val="1"/>
                <w:color w:val="auto"/>
              </w:rPr>
            </w:pPr>
          </w:p>
        </w:tc>
      </w:tr>
      <w:tr>
        <w:trPr>
          <w:trHeight w:val="216"/>
        </w:trPr>
        <w:tc>
          <w:tcPr>
            <w:tcW w:w="3160" w:type="dxa"/>
            <w:vAlign w:val="bottom"/>
          </w:tcPr>
          <w:p>
            <w:pPr>
              <w:spacing w:after="0"/>
              <w:rPr>
                <w:sz w:val="18"/>
                <w:szCs w:val="18"/>
                <w:color w:val="auto"/>
              </w:rPr>
            </w:pPr>
          </w:p>
        </w:tc>
        <w:tc>
          <w:tcPr>
            <w:tcW w:w="424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160" w:type="dxa"/>
            <w:vAlign w:val="bottom"/>
            <w:shd w:val="clear" w:color="auto" w:fill="CCEEFF"/>
          </w:tcPr>
          <w:p>
            <w:pPr>
              <w:spacing w:after="0"/>
              <w:rPr>
                <w:sz w:val="20"/>
                <w:szCs w:val="20"/>
                <w:color w:val="auto"/>
              </w:rPr>
            </w:pPr>
            <w:r>
              <w:rPr>
                <w:rFonts w:ascii="Arial" w:cs="Arial" w:eastAsia="Arial" w:hAnsi="Arial"/>
                <w:sz w:val="18"/>
                <w:szCs w:val="18"/>
                <w:color w:val="auto"/>
              </w:rPr>
              <w:t>September 30, 2016</w:t>
            </w:r>
          </w:p>
        </w:tc>
        <w:tc>
          <w:tcPr>
            <w:tcW w:w="42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+200 bps</w:t>
            </w:r>
          </w:p>
        </w:tc>
        <w:tc>
          <w:tcPr>
            <w:tcW w:w="15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8,672,488</w:t>
            </w:r>
          </w:p>
        </w:tc>
        <w:tc>
          <w:tcPr>
            <w:tcW w:w="0" w:type="dxa"/>
            <w:vAlign w:val="bottom"/>
          </w:tcPr>
          <w:p>
            <w:pPr>
              <w:spacing w:after="0"/>
              <w:rPr>
                <w:sz w:val="1"/>
                <w:szCs w:val="1"/>
                <w:color w:val="auto"/>
              </w:rPr>
            </w:pPr>
          </w:p>
        </w:tc>
      </w:tr>
      <w:tr>
        <w:trPr>
          <w:trHeight w:val="20"/>
        </w:trPr>
        <w:tc>
          <w:tcPr>
            <w:tcW w:w="3160" w:type="dxa"/>
            <w:vAlign w:val="bottom"/>
            <w:tcBorders>
              <w:top w:val="single" w:sz="8" w:color="CCEEFF"/>
            </w:tcBorders>
          </w:tcPr>
          <w:p>
            <w:pPr>
              <w:spacing w:after="0" w:line="20" w:lineRule="exact"/>
              <w:rPr>
                <w:sz w:val="1"/>
                <w:szCs w:val="1"/>
                <w:color w:val="auto"/>
              </w:rPr>
            </w:pPr>
          </w:p>
        </w:tc>
        <w:tc>
          <w:tcPr>
            <w:tcW w:w="424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8"/>
              </w:rPr>
              <w:t>-200 bps</w:t>
            </w:r>
          </w:p>
        </w:tc>
        <w:tc>
          <w:tcPr>
            <w:tcW w:w="14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line="20" w:lineRule="exact"/>
              <w:rPr>
                <w:sz w:val="1"/>
                <w:szCs w:val="1"/>
                <w:color w:val="auto"/>
              </w:rPr>
            </w:pPr>
          </w:p>
        </w:tc>
      </w:tr>
      <w:tr>
        <w:trPr>
          <w:trHeight w:val="237"/>
        </w:trPr>
        <w:tc>
          <w:tcPr>
            <w:tcW w:w="3160" w:type="dxa"/>
            <w:vAlign w:val="bottom"/>
            <w:tcBorders>
              <w:bottom w:val="single" w:sz="8" w:color="CCEEFF"/>
            </w:tcBorders>
          </w:tcPr>
          <w:p>
            <w:pPr>
              <w:spacing w:after="0"/>
              <w:rPr>
                <w:sz w:val="20"/>
                <w:szCs w:val="20"/>
                <w:color w:val="auto"/>
              </w:rPr>
            </w:pPr>
          </w:p>
        </w:tc>
        <w:tc>
          <w:tcPr>
            <w:tcW w:w="424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(8,206,113</w:t>
            </w:r>
          </w:p>
        </w:tc>
        <w:tc>
          <w:tcPr>
            <w:tcW w:w="8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160" w:type="dxa"/>
            <w:vAlign w:val="bottom"/>
            <w:shd w:val="clear" w:color="auto" w:fill="CCEEFF"/>
          </w:tcPr>
          <w:p>
            <w:pPr>
              <w:spacing w:after="0"/>
              <w:rPr>
                <w:sz w:val="17"/>
                <w:szCs w:val="17"/>
                <w:color w:val="auto"/>
              </w:rPr>
            </w:pPr>
          </w:p>
        </w:tc>
        <w:tc>
          <w:tcPr>
            <w:tcW w:w="42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3160" w:type="dxa"/>
            <w:vAlign w:val="bottom"/>
          </w:tcPr>
          <w:p>
            <w:pPr>
              <w:spacing w:after="0"/>
              <w:rPr>
                <w:sz w:val="20"/>
                <w:szCs w:val="20"/>
                <w:color w:val="auto"/>
              </w:rPr>
            </w:pPr>
            <w:r>
              <w:rPr>
                <w:rFonts w:ascii="Arial" w:cs="Arial" w:eastAsia="Arial" w:hAnsi="Arial"/>
                <w:sz w:val="18"/>
                <w:szCs w:val="18"/>
                <w:color w:val="auto"/>
              </w:rPr>
              <w:t>September 30, 2015</w:t>
            </w:r>
          </w:p>
        </w:tc>
        <w:tc>
          <w:tcPr>
            <w:tcW w:w="4240" w:type="dxa"/>
            <w:vAlign w:val="bottom"/>
          </w:tcPr>
          <w:p>
            <w:pPr>
              <w:jc w:val="center"/>
              <w:spacing w:after="0"/>
              <w:rPr>
                <w:sz w:val="20"/>
                <w:szCs w:val="20"/>
                <w:color w:val="auto"/>
              </w:rPr>
            </w:pPr>
            <w:r>
              <w:rPr>
                <w:rFonts w:ascii="Arial" w:cs="Arial" w:eastAsia="Arial" w:hAnsi="Arial"/>
                <w:sz w:val="18"/>
                <w:szCs w:val="18"/>
                <w:color w:val="auto"/>
                <w:w w:val="88"/>
              </w:rPr>
              <w:t>+200 bps</w:t>
            </w:r>
          </w:p>
        </w:tc>
        <w:tc>
          <w:tcPr>
            <w:tcW w:w="1500" w:type="dxa"/>
            <w:vAlign w:val="bottom"/>
            <w:gridSpan w:val="2"/>
          </w:tcPr>
          <w:p>
            <w:pPr>
              <w:jc w:val="right"/>
              <w:spacing w:after="0"/>
              <w:rPr>
                <w:sz w:val="20"/>
                <w:szCs w:val="20"/>
                <w:color w:val="auto"/>
              </w:rPr>
            </w:pPr>
            <w:r>
              <w:rPr>
                <w:rFonts w:ascii="Arial" w:cs="Arial" w:eastAsia="Arial" w:hAnsi="Arial"/>
                <w:sz w:val="18"/>
                <w:szCs w:val="18"/>
                <w:color w:val="auto"/>
              </w:rPr>
              <w:t>37,304,725</w:t>
            </w:r>
          </w:p>
        </w:tc>
        <w:tc>
          <w:tcPr>
            <w:tcW w:w="0" w:type="dxa"/>
            <w:vAlign w:val="bottom"/>
          </w:tcPr>
          <w:p>
            <w:pPr>
              <w:spacing w:after="0"/>
              <w:rPr>
                <w:sz w:val="1"/>
                <w:szCs w:val="1"/>
                <w:color w:val="auto"/>
              </w:rPr>
            </w:pPr>
          </w:p>
        </w:tc>
      </w:tr>
      <w:tr>
        <w:trPr>
          <w:trHeight w:val="197"/>
        </w:trPr>
        <w:tc>
          <w:tcPr>
            <w:tcW w:w="3160" w:type="dxa"/>
            <w:vAlign w:val="bottom"/>
            <w:tcBorders>
              <w:top w:val="single" w:sz="8" w:color="CCEEFF"/>
              <w:bottom w:val="single" w:sz="8" w:color="CCEEFF"/>
            </w:tcBorders>
            <w:shd w:val="clear" w:color="auto" w:fill="CCEEFF"/>
          </w:tcPr>
          <w:p>
            <w:pPr>
              <w:spacing w:after="0"/>
              <w:rPr>
                <w:sz w:val="17"/>
                <w:szCs w:val="17"/>
                <w:color w:val="auto"/>
              </w:rPr>
            </w:pPr>
          </w:p>
        </w:tc>
        <w:tc>
          <w:tcPr>
            <w:tcW w:w="4240" w:type="dxa"/>
            <w:vAlign w:val="bottom"/>
            <w:tcBorders>
              <w:top w:val="single" w:sz="8" w:color="CCEEFF"/>
              <w:bottom w:val="single" w:sz="8" w:color="CCEEFF"/>
            </w:tcBorders>
            <w:shd w:val="clear" w:color="auto" w:fill="CCEEFF"/>
          </w:tcPr>
          <w:p>
            <w:pPr>
              <w:jc w:val="center"/>
              <w:spacing w:after="0" w:line="190" w:lineRule="exact"/>
              <w:rPr>
                <w:sz w:val="20"/>
                <w:szCs w:val="20"/>
                <w:color w:val="auto"/>
              </w:rPr>
            </w:pPr>
            <w:r>
              <w:rPr>
                <w:rFonts w:ascii="Arial" w:cs="Arial" w:eastAsia="Arial" w:hAnsi="Arial"/>
                <w:sz w:val="18"/>
                <w:szCs w:val="18"/>
                <w:color w:val="auto"/>
                <w:w w:val="88"/>
              </w:rPr>
              <w:t>-200 bps</w:t>
            </w:r>
          </w:p>
        </w:tc>
        <w:tc>
          <w:tcPr>
            <w:tcW w:w="1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4,265,871</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160" w:type="dxa"/>
            <w:vAlign w:val="bottom"/>
          </w:tcPr>
          <w:p>
            <w:pPr>
              <w:spacing w:after="0" w:line="20" w:lineRule="exact"/>
              <w:rPr>
                <w:sz w:val="1"/>
                <w:szCs w:val="1"/>
                <w:color w:val="auto"/>
              </w:rPr>
            </w:pPr>
          </w:p>
        </w:tc>
        <w:tc>
          <w:tcPr>
            <w:tcW w:w="42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500" w:right="20"/>
        <w:spacing w:after="0" w:line="342" w:lineRule="auto"/>
        <w:rPr>
          <w:sz w:val="20"/>
          <w:szCs w:val="20"/>
          <w:color w:val="auto"/>
        </w:rPr>
      </w:pPr>
      <w:r>
        <w:rPr>
          <w:rFonts w:ascii="Arial" w:cs="Arial" w:eastAsia="Arial" w:hAnsi="Arial"/>
          <w:sz w:val="16"/>
          <w:szCs w:val="16"/>
          <w:color w:val="auto"/>
        </w:rPr>
        <w:t>This analysis is based on the prior period changes in interest rates and assesses the impact on income, with balances as of September 30, 2016 and 2015. This sensitivity provides an idea of the changes in interest rates, taking as example the volatility of the interest rate of the previous period.</w:t>
      </w:r>
    </w:p>
    <w:p>
      <w:pPr>
        <w:spacing w:after="0" w:line="340"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7" w:name="page68"/>
    <w:bookmarkEnd w:id="67"/>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17.3 Market risk (continued) Interest rate risk (continued)</w:t>
      </w:r>
    </w:p>
    <w:p>
      <w:pPr>
        <w:ind w:left="500"/>
        <w:spacing w:after="0"/>
        <w:rPr>
          <w:rFonts w:ascii="Arial" w:cs="Arial" w:eastAsia="Arial" w:hAnsi="Arial"/>
          <w:sz w:val="18"/>
          <w:szCs w:val="18"/>
          <w:b w:val="1"/>
          <w:bCs w:val="1"/>
          <w:color w:val="auto"/>
        </w:rPr>
      </w:pPr>
      <w:r>
        <w:rPr>
          <w:rFonts w:ascii="Arial" w:cs="Arial" w:eastAsia="Arial" w:hAnsi="Arial"/>
          <w:sz w:val="18"/>
          <w:szCs w:val="18"/>
          <w:color w:val="auto"/>
        </w:rPr>
        <w:t>The table below summarizes the Bank's exposure based on the terms of repricing of interest rates on financial assets and liabilities.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0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89"/>
              </w:rPr>
              <w:t>September 30, 2016</w:t>
            </w: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00" w:type="dxa"/>
            <w:vAlign w:val="bottom"/>
            <w:vMerge w:val="restart"/>
          </w:tcPr>
          <w:p>
            <w:pPr>
              <w:ind w:left="148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3 to 6</w:t>
            </w:r>
          </w:p>
        </w:tc>
        <w:tc>
          <w:tcPr>
            <w:tcW w:w="1260" w:type="dxa"/>
            <w:vAlign w:val="bottom"/>
            <w:gridSpan w:val="2"/>
          </w:tcPr>
          <w:p>
            <w:pPr>
              <w:ind w:left="180"/>
              <w:spacing w:after="0" w:line="191" w:lineRule="exact"/>
              <w:rPr>
                <w:sz w:val="20"/>
                <w:szCs w:val="20"/>
                <w:color w:val="auto"/>
              </w:rPr>
            </w:pPr>
            <w:r>
              <w:rPr>
                <w:rFonts w:ascii="Arial" w:cs="Arial" w:eastAsia="Arial" w:hAnsi="Arial"/>
                <w:sz w:val="18"/>
                <w:szCs w:val="18"/>
                <w:b w:val="1"/>
                <w:bCs w:val="1"/>
                <w:color w:val="auto"/>
              </w:rPr>
              <w:t>6 months</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92"/>
              </w:rPr>
              <w:t>More than</w:t>
            </w: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00" w:type="dxa"/>
            <w:vAlign w:val="bottom"/>
            <w:vMerge w:val="continue"/>
          </w:tcPr>
          <w:p>
            <w:pPr>
              <w:spacing w:after="0"/>
              <w:rPr>
                <w:sz w:val="20"/>
                <w:szCs w:val="20"/>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months</w:t>
            </w:r>
          </w:p>
        </w:tc>
        <w:tc>
          <w:tcPr>
            <w:tcW w:w="1260" w:type="dxa"/>
            <w:vAlign w:val="bottom"/>
            <w:gridSpan w:val="2"/>
          </w:tcPr>
          <w:p>
            <w:pPr>
              <w:ind w:left="200"/>
              <w:spacing w:after="0"/>
              <w:rPr>
                <w:sz w:val="20"/>
                <w:szCs w:val="20"/>
                <w:color w:val="auto"/>
              </w:rPr>
            </w:pPr>
            <w:r>
              <w:rPr>
                <w:rFonts w:ascii="Arial" w:cs="Arial" w:eastAsia="Arial" w:hAnsi="Arial"/>
                <w:sz w:val="18"/>
                <w:szCs w:val="18"/>
                <w:b w:val="1"/>
                <w:bCs w:val="1"/>
                <w:color w:val="auto"/>
              </w:rPr>
              <w:t>to 1 year</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2"/>
              </w:rPr>
              <w:t>1 to 5 years</w:t>
            </w:r>
          </w:p>
        </w:tc>
        <w:tc>
          <w:tcPr>
            <w:tcW w:w="12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5 years</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Time deposit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70,000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70,000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8,000</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1,025</w:t>
            </w:r>
          </w:p>
        </w:tc>
        <w:tc>
          <w:tcPr>
            <w:tcW w:w="126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3,000</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97,094</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35,450</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144,569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4,629,083</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1,345,129</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349,685</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69,485</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6,393,382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4,707,083</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1,346,154</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352,685</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166,579</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35,450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6,607,951</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0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Deposits</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2,257,532</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258,000</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307,370</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50,567</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2,873,469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101,403</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101,403</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Borrowings, pledged deposits and debt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1,761,835</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177,433</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480,540</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487,013</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56,185</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2,963,006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4,120,770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435,433</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787,910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537,580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56,185</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5,937,878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586,313</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910,721</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(435,225</w:t>
            </w:r>
          </w:p>
        </w:tc>
        <w:tc>
          <w:tcPr>
            <w:tcW w:w="220" w:type="dxa"/>
            <w:vAlign w:val="bottom"/>
          </w:tcPr>
          <w:p>
            <w:pPr>
              <w:jc w:val="center"/>
              <w:ind w:right="70"/>
              <w:spacing w:after="0"/>
              <w:rPr>
                <w:sz w:val="20"/>
                <w:szCs w:val="20"/>
                <w:color w:val="auto"/>
              </w:rPr>
            </w:pPr>
            <w:r>
              <w:rPr>
                <w:rFonts w:ascii="Arial" w:cs="Arial" w:eastAsia="Arial" w:hAnsi="Arial"/>
                <w:sz w:val="18"/>
                <w:szCs w:val="18"/>
                <w:b w:val="1"/>
                <w:bCs w:val="1"/>
                <w:color w:val="auto"/>
                <w:w w:val="99"/>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(371,001</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(20,735</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670,073</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0" w:type="dxa"/>
            <w:vAlign w:val="bottom"/>
          </w:tcPr>
          <w:p>
            <w:pPr>
              <w:spacing w:after="0"/>
              <w:rPr>
                <w:sz w:val="24"/>
                <w:szCs w:val="24"/>
                <w:color w:val="auto"/>
              </w:rPr>
            </w:pPr>
          </w:p>
        </w:tc>
        <w:tc>
          <w:tcPr>
            <w:tcW w:w="4000" w:type="dxa"/>
            <w:vAlign w:val="bottom"/>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50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90"/>
              </w:rPr>
              <w:t>December 31, 2015</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0" w:type="dxa"/>
            <w:vAlign w:val="bottom"/>
          </w:tcPr>
          <w:p>
            <w:pPr>
              <w:spacing w:after="0"/>
              <w:rPr>
                <w:sz w:val="16"/>
                <w:szCs w:val="16"/>
                <w:color w:val="auto"/>
              </w:rPr>
            </w:pPr>
          </w:p>
        </w:tc>
        <w:tc>
          <w:tcPr>
            <w:tcW w:w="4000" w:type="dxa"/>
            <w:vAlign w:val="bottom"/>
            <w:vMerge w:val="restart"/>
          </w:tcPr>
          <w:p>
            <w:pPr>
              <w:ind w:left="1480"/>
              <w:spacing w:after="0"/>
              <w:rPr>
                <w:sz w:val="20"/>
                <w:szCs w:val="20"/>
                <w:color w:val="auto"/>
              </w:rPr>
            </w:pPr>
            <w:r>
              <w:rPr>
                <w:rFonts w:ascii="Arial" w:cs="Arial" w:eastAsia="Arial" w:hAnsi="Arial"/>
                <w:sz w:val="18"/>
                <w:szCs w:val="18"/>
                <w:b w:val="1"/>
                <w:bCs w:val="1"/>
                <w:color w:val="auto"/>
              </w:rPr>
              <w:t>Description</w:t>
            </w:r>
          </w:p>
        </w:tc>
        <w:tc>
          <w:tcPr>
            <w:tcW w:w="1280" w:type="dxa"/>
            <w:vAlign w:val="bottom"/>
            <w:gridSpan w:val="2"/>
          </w:tcPr>
          <w:p>
            <w:pPr>
              <w:ind w:left="240"/>
              <w:spacing w:after="0" w:line="191" w:lineRule="exact"/>
              <w:rPr>
                <w:sz w:val="20"/>
                <w:szCs w:val="20"/>
                <w:color w:val="auto"/>
              </w:rPr>
            </w:pPr>
            <w:r>
              <w:rPr>
                <w:rFonts w:ascii="Arial" w:cs="Arial" w:eastAsia="Arial" w:hAnsi="Arial"/>
                <w:sz w:val="18"/>
                <w:szCs w:val="18"/>
                <w:b w:val="1"/>
                <w:bCs w:val="1"/>
                <w:color w:val="auto"/>
              </w:rPr>
              <w:t>Up to 3</w:t>
            </w:r>
          </w:p>
        </w:tc>
        <w:tc>
          <w:tcPr>
            <w:tcW w:w="128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3 to 6</w:t>
            </w:r>
          </w:p>
        </w:tc>
        <w:tc>
          <w:tcPr>
            <w:tcW w:w="1260" w:type="dxa"/>
            <w:vAlign w:val="bottom"/>
            <w:gridSpan w:val="2"/>
          </w:tcPr>
          <w:p>
            <w:pPr>
              <w:ind w:left="180"/>
              <w:spacing w:after="0" w:line="191" w:lineRule="exact"/>
              <w:rPr>
                <w:sz w:val="20"/>
                <w:szCs w:val="20"/>
                <w:color w:val="auto"/>
              </w:rPr>
            </w:pPr>
            <w:r>
              <w:rPr>
                <w:rFonts w:ascii="Arial" w:cs="Arial" w:eastAsia="Arial" w:hAnsi="Arial"/>
                <w:sz w:val="18"/>
                <w:szCs w:val="18"/>
                <w:b w:val="1"/>
                <w:bCs w:val="1"/>
                <w:color w:val="auto"/>
              </w:rPr>
              <w:t>6 months</w:t>
            </w:r>
          </w:p>
        </w:tc>
        <w:tc>
          <w:tcPr>
            <w:tcW w:w="10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20" w:type="dxa"/>
            <w:vAlign w:val="bottom"/>
            <w:gridSpan w:val="2"/>
          </w:tcPr>
          <w:p>
            <w:pPr>
              <w:jc w:val="center"/>
              <w:ind w:right="140"/>
              <w:spacing w:after="0" w:line="191" w:lineRule="exact"/>
              <w:rPr>
                <w:sz w:val="20"/>
                <w:szCs w:val="20"/>
                <w:color w:val="auto"/>
              </w:rPr>
            </w:pPr>
            <w:r>
              <w:rPr>
                <w:rFonts w:ascii="Arial" w:cs="Arial" w:eastAsia="Arial" w:hAnsi="Arial"/>
                <w:sz w:val="18"/>
                <w:szCs w:val="18"/>
                <w:b w:val="1"/>
                <w:bCs w:val="1"/>
                <w:color w:val="auto"/>
                <w:w w:val="92"/>
              </w:rPr>
              <w:t>More than</w:t>
            </w: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000" w:type="dxa"/>
            <w:vAlign w:val="bottom"/>
            <w:vMerge w:val="continue"/>
          </w:tcPr>
          <w:p>
            <w:pPr>
              <w:spacing w:after="0"/>
              <w:rPr>
                <w:sz w:val="20"/>
                <w:szCs w:val="20"/>
                <w:color w:val="auto"/>
              </w:rPr>
            </w:pPr>
          </w:p>
        </w:tc>
        <w:tc>
          <w:tcPr>
            <w:tcW w:w="1280" w:type="dxa"/>
            <w:vAlign w:val="bottom"/>
            <w:gridSpan w:val="2"/>
          </w:tcPr>
          <w:p>
            <w:pPr>
              <w:ind w:left="240"/>
              <w:spacing w:after="0"/>
              <w:rPr>
                <w:sz w:val="20"/>
                <w:szCs w:val="20"/>
                <w:color w:val="auto"/>
              </w:rPr>
            </w:pPr>
            <w:r>
              <w:rPr>
                <w:rFonts w:ascii="Arial" w:cs="Arial" w:eastAsia="Arial" w:hAnsi="Arial"/>
                <w:sz w:val="18"/>
                <w:szCs w:val="18"/>
                <w:b w:val="1"/>
                <w:bCs w:val="1"/>
                <w:color w:val="auto"/>
              </w:rPr>
              <w:t>months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months</w:t>
            </w:r>
          </w:p>
        </w:tc>
        <w:tc>
          <w:tcPr>
            <w:tcW w:w="1260" w:type="dxa"/>
            <w:vAlign w:val="bottom"/>
            <w:gridSpan w:val="2"/>
          </w:tcPr>
          <w:p>
            <w:pPr>
              <w:ind w:left="200"/>
              <w:spacing w:after="0"/>
              <w:rPr>
                <w:sz w:val="20"/>
                <w:szCs w:val="20"/>
                <w:color w:val="auto"/>
              </w:rPr>
            </w:pPr>
            <w:r>
              <w:rPr>
                <w:rFonts w:ascii="Arial" w:cs="Arial" w:eastAsia="Arial" w:hAnsi="Arial"/>
                <w:sz w:val="18"/>
                <w:szCs w:val="18"/>
                <w:b w:val="1"/>
                <w:bCs w:val="1"/>
                <w:color w:val="auto"/>
              </w:rPr>
              <w:t>to 1 year</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2"/>
              </w:rPr>
              <w:t>1 to 5 years</w:t>
            </w:r>
          </w:p>
        </w:tc>
        <w:tc>
          <w:tcPr>
            <w:tcW w:w="12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5 years</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Time deposit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50,000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50,000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34,100</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10,000</w:t>
            </w:r>
          </w:p>
        </w:tc>
        <w:tc>
          <w:tcPr>
            <w:tcW w:w="126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13,345</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105,394</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86,848</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249,687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4,532,150</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1,760,730</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288,031</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111,049</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6,691,960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4,616,250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1,770,730</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301,376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216,443</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86,848</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6,991,647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00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Deposits</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1,967,929</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319,995</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263,849</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2,551,773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000" w:type="dxa"/>
            <w:vAlign w:val="bottom"/>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102,775</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11,309</w:t>
            </w:r>
          </w:p>
        </w:tc>
        <w:tc>
          <w:tcPr>
            <w:tcW w:w="126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114,084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Borrowings, pledged deposits and debt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2,430,951</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718,258</w:t>
            </w:r>
          </w:p>
        </w:tc>
        <w:tc>
          <w:tcPr>
            <w:tcW w:w="1260" w:type="dxa"/>
            <w:vAlign w:val="bottom"/>
            <w:gridSpan w:val="2"/>
          </w:tcPr>
          <w:p>
            <w:pPr>
              <w:jc w:val="right"/>
              <w:ind w:right="130"/>
              <w:spacing w:after="0"/>
              <w:rPr>
                <w:sz w:val="20"/>
                <w:szCs w:val="20"/>
                <w:color w:val="auto"/>
              </w:rPr>
            </w:pPr>
            <w:r>
              <w:rPr>
                <w:rFonts w:ascii="Arial" w:cs="Arial" w:eastAsia="Arial" w:hAnsi="Arial"/>
                <w:sz w:val="18"/>
                <w:szCs w:val="18"/>
                <w:color w:val="auto"/>
              </w:rPr>
              <w:t>271,811</w:t>
            </w:r>
          </w:p>
        </w:tc>
        <w:tc>
          <w:tcPr>
            <w:tcW w:w="1240" w:type="dxa"/>
            <w:vAlign w:val="bottom"/>
            <w:gridSpan w:val="2"/>
          </w:tcPr>
          <w:p>
            <w:pPr>
              <w:jc w:val="right"/>
              <w:ind w:right="140"/>
              <w:spacing w:after="0"/>
              <w:rPr>
                <w:sz w:val="20"/>
                <w:szCs w:val="20"/>
                <w:color w:val="auto"/>
              </w:rPr>
            </w:pPr>
            <w:r>
              <w:rPr>
                <w:rFonts w:ascii="Arial" w:cs="Arial" w:eastAsia="Arial" w:hAnsi="Arial"/>
                <w:sz w:val="18"/>
                <w:szCs w:val="18"/>
                <w:color w:val="auto"/>
              </w:rPr>
              <w:t>842,901</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54,410</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4,318,331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4,501,655</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1,049,562</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535,660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842,901</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54,410</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6,984,188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000" w:type="dxa"/>
            <w:vAlign w:val="bottom"/>
          </w:tcPr>
          <w:p>
            <w:pPr>
              <w:spacing w:after="0"/>
              <w:rPr>
                <w:sz w:val="20"/>
                <w:szCs w:val="20"/>
                <w:color w:val="auto"/>
              </w:rPr>
            </w:pPr>
            <w:r>
              <w:rPr>
                <w:rFonts w:ascii="Arial" w:cs="Arial" w:eastAsia="Arial" w:hAnsi="Arial"/>
                <w:sz w:val="18"/>
                <w:szCs w:val="18"/>
                <w:color w:val="auto"/>
              </w:rPr>
              <w:t>Total interest rate sensibility</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114,595</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721,168</w:t>
            </w:r>
          </w:p>
        </w:tc>
        <w:tc>
          <w:tcPr>
            <w:tcW w:w="240" w:type="dxa"/>
            <w:vAlign w:val="bottom"/>
          </w:tcPr>
          <w:p>
            <w:pPr>
              <w:spacing w:after="0"/>
              <w:rPr>
                <w:sz w:val="19"/>
                <w:szCs w:val="19"/>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(234,284</w:t>
            </w:r>
          </w:p>
        </w:tc>
        <w:tc>
          <w:tcPr>
            <w:tcW w:w="220" w:type="dxa"/>
            <w:vAlign w:val="bottom"/>
          </w:tcPr>
          <w:p>
            <w:pPr>
              <w:jc w:val="center"/>
              <w:ind w:right="70"/>
              <w:spacing w:after="0"/>
              <w:rPr>
                <w:sz w:val="20"/>
                <w:szCs w:val="20"/>
                <w:color w:val="auto"/>
              </w:rPr>
            </w:pPr>
            <w:r>
              <w:rPr>
                <w:rFonts w:ascii="Arial" w:cs="Arial" w:eastAsia="Arial" w:hAnsi="Arial"/>
                <w:sz w:val="18"/>
                <w:szCs w:val="18"/>
                <w:b w:val="1"/>
                <w:bCs w:val="1"/>
                <w:color w:val="auto"/>
                <w:w w:val="99"/>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(626,458</w:t>
            </w:r>
          </w:p>
        </w:tc>
        <w:tc>
          <w:tcPr>
            <w:tcW w:w="220" w:type="dxa"/>
            <w:vAlign w:val="bottom"/>
          </w:tcPr>
          <w:p>
            <w:pPr>
              <w:jc w:val="right"/>
              <w:ind w:right="80"/>
              <w:spacing w:after="0"/>
              <w:rPr>
                <w:sz w:val="20"/>
                <w:szCs w:val="20"/>
                <w:color w:val="auto"/>
              </w:rPr>
            </w:pPr>
            <w:r>
              <w:rPr>
                <w:rFonts w:ascii="Arial" w:cs="Arial" w:eastAsia="Arial" w:hAnsi="Arial"/>
                <w:sz w:val="16"/>
                <w:szCs w:val="16"/>
                <w:b w:val="1"/>
                <w:bCs w:val="1"/>
                <w:color w:val="auto"/>
                <w:w w:val="74"/>
              </w:rPr>
              <w:t>)</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32,438</w:t>
            </w:r>
          </w:p>
        </w:tc>
        <w:tc>
          <w:tcPr>
            <w:tcW w:w="220" w:type="dxa"/>
            <w:vAlign w:val="bottom"/>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7,459</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20" w:type="dxa"/>
            <w:vAlign w:val="bottom"/>
          </w:tcPr>
          <w:p>
            <w:pPr>
              <w:spacing w:after="0"/>
              <w:rPr>
                <w:sz w:val="24"/>
                <w:szCs w:val="24"/>
                <w:color w:val="auto"/>
              </w:rPr>
            </w:pPr>
          </w:p>
        </w:tc>
        <w:tc>
          <w:tcPr>
            <w:tcW w:w="40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color w:val="auto"/>
              </w:rPr>
              <w:t>66</w:t>
            </w:r>
          </w:p>
        </w:tc>
        <w:tc>
          <w:tcPr>
            <w:tcW w:w="2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8" w:name="page69"/>
    <w:bookmarkEnd w:id="68"/>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580"/>
        <w:spacing w:after="0" w:line="503" w:lineRule="auto"/>
        <w:rPr>
          <w:rFonts w:ascii="Arial" w:cs="Arial" w:eastAsia="Arial" w:hAnsi="Arial"/>
          <w:sz w:val="18"/>
          <w:szCs w:val="18"/>
          <w:b w:val="1"/>
          <w:bCs w:val="1"/>
          <w:color w:val="auto"/>
        </w:rPr>
      </w:pPr>
      <w:r>
        <w:rPr>
          <w:rFonts w:ascii="Arial" w:cs="Arial" w:eastAsia="Arial" w:hAnsi="Arial"/>
          <w:sz w:val="18"/>
          <w:szCs w:val="18"/>
          <w:b w:val="1"/>
          <w:bCs w:val="1"/>
          <w:color w:val="auto"/>
        </w:rPr>
        <w:t>17.3 Market risk (continued) Currency risk</w:t>
      </w: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Currency risk is the risk that the value of a financial instrument will fluctuate because of changes in exchange rates of foreign currencies, and other financial variables, as well as the reaction of market participants to political and economic events. For purposes of accounting standards, this risk does not come from financial instruments that are not monetary items, or for financial instruments denominated in the functional currency. Exposure to currency risk is low since the Bank’s has maximum exposure limits established by the Board.</w:t>
      </w:r>
    </w:p>
    <w:p>
      <w:pPr>
        <w:spacing w:after="0" w:line="186" w:lineRule="exact"/>
        <w:rPr>
          <w:rFonts w:ascii="Arial" w:cs="Arial" w:eastAsia="Arial" w:hAnsi="Arial"/>
          <w:sz w:val="18"/>
          <w:szCs w:val="18"/>
          <w:b w:val="1"/>
          <w:bCs w:val="1"/>
          <w:color w:val="auto"/>
        </w:rPr>
      </w:pPr>
    </w:p>
    <w:p>
      <w:pPr>
        <w:ind w:left="5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the maximum to foreign currency, where all assets and liabilities are presented based on their book value, except for derivatives, which are included within other assets and other liabilities based on its value nominal.</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20" w:type="dxa"/>
            <w:vAlign w:val="bottom"/>
            <w:tcBorders>
              <w:bottom w:val="single" w:sz="8" w:color="auto"/>
            </w:tcBorders>
            <w:gridSpan w:val="4"/>
          </w:tcPr>
          <w:p>
            <w:pPr>
              <w:jc w:val="right"/>
              <w:ind w:right="60"/>
              <w:spacing w:after="0"/>
              <w:rPr>
                <w:sz w:val="20"/>
                <w:szCs w:val="20"/>
                <w:color w:val="auto"/>
              </w:rPr>
            </w:pPr>
            <w:r>
              <w:rPr>
                <w:rFonts w:ascii="Arial" w:cs="Arial" w:eastAsia="Arial" w:hAnsi="Arial"/>
                <w:sz w:val="18"/>
                <w:szCs w:val="18"/>
                <w:b w:val="1"/>
                <w:bCs w:val="1"/>
                <w:color w:val="auto"/>
              </w:rPr>
              <w:t>September 30, 2016</w:t>
            </w: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740" w:type="dxa"/>
            <w:vAlign w:val="bottom"/>
          </w:tcPr>
          <w:p>
            <w:pPr>
              <w:spacing w:after="0"/>
              <w:rPr>
                <w:sz w:val="17"/>
                <w:szCs w:val="17"/>
                <w:color w:val="auto"/>
              </w:rPr>
            </w:pP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Brazilian</w:t>
            </w: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1"/>
              </w:rPr>
              <w:t>European</w:t>
            </w:r>
          </w:p>
        </w:tc>
        <w:tc>
          <w:tcPr>
            <w:tcW w:w="130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85"/>
              </w:rPr>
              <w:t>Japanese</w:t>
            </w:r>
          </w:p>
        </w:tc>
        <w:tc>
          <w:tcPr>
            <w:tcW w:w="12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0"/>
              </w:rPr>
              <w:t>Colombian</w:t>
            </w:r>
          </w:p>
        </w:tc>
        <w:tc>
          <w:tcPr>
            <w:tcW w:w="124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Mexican</w:t>
            </w:r>
          </w:p>
        </w:tc>
        <w:tc>
          <w:tcPr>
            <w:tcW w:w="122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Other</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Real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Peso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Peso</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currencies</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expressed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2740" w:type="dxa"/>
            <w:vAlign w:val="bottom"/>
          </w:tcPr>
          <w:p>
            <w:pPr>
              <w:spacing w:after="0"/>
              <w:rPr>
                <w:sz w:val="23"/>
                <w:szCs w:val="2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 US$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20" w:type="dxa"/>
            <w:vAlign w:val="bottom"/>
            <w:gridSpan w:val="2"/>
          </w:tcPr>
          <w:p>
            <w:pPr>
              <w:jc w:val="center"/>
              <w:ind w:right="2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3.25</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1.12</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101.36</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2882.06</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19.40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7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040" w:type="dxa"/>
            <w:vAlign w:val="bottom"/>
          </w:tcPr>
          <w:p>
            <w:pPr>
              <w:jc w:val="right"/>
              <w:spacing w:after="0"/>
              <w:rPr>
                <w:sz w:val="20"/>
                <w:szCs w:val="20"/>
                <w:color w:val="auto"/>
              </w:rPr>
            </w:pPr>
            <w:r>
              <w:rPr>
                <w:rFonts w:ascii="Arial" w:cs="Arial" w:eastAsia="Arial" w:hAnsi="Arial"/>
                <w:sz w:val="18"/>
                <w:szCs w:val="18"/>
                <w:color w:val="auto"/>
              </w:rPr>
              <w:t>3,780</w:t>
            </w:r>
          </w:p>
        </w:tc>
        <w:tc>
          <w:tcPr>
            <w:tcW w:w="240" w:type="dxa"/>
            <w:vAlign w:val="bottom"/>
          </w:tcPr>
          <w:p>
            <w:pPr>
              <w:spacing w:after="0"/>
              <w:rPr>
                <w:sz w:val="18"/>
                <w:szCs w:val="18"/>
                <w:color w:val="auto"/>
              </w:rPr>
            </w:pP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w:t>
            </w:r>
          </w:p>
        </w:tc>
        <w:tc>
          <w:tcPr>
            <w:tcW w:w="1040" w:type="dxa"/>
            <w:vAlign w:val="bottom"/>
          </w:tcPr>
          <w:p>
            <w:pPr>
              <w:jc w:val="right"/>
              <w:spacing w:after="0"/>
              <w:rPr>
                <w:sz w:val="20"/>
                <w:szCs w:val="20"/>
                <w:color w:val="auto"/>
              </w:rPr>
            </w:pPr>
            <w:r>
              <w:rPr>
                <w:rFonts w:ascii="Arial" w:cs="Arial" w:eastAsia="Arial" w:hAnsi="Arial"/>
                <w:sz w:val="18"/>
                <w:szCs w:val="18"/>
                <w:color w:val="auto"/>
              </w:rPr>
              <w:t>18</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852</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79</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4,771</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Investments and other financial</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307,251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307,251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194,514</w:t>
            </w:r>
          </w:p>
        </w:tc>
        <w:tc>
          <w:tcPr>
            <w:tcW w:w="2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108,529</w:t>
            </w:r>
          </w:p>
        </w:tc>
        <w:tc>
          <w:tcPr>
            <w:tcW w:w="26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81,493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384,536</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2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3,780</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194,518</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108,547</w:t>
            </w:r>
          </w:p>
        </w:tc>
        <w:tc>
          <w:tcPr>
            <w:tcW w:w="26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389,596</w:t>
            </w:r>
          </w:p>
        </w:tc>
        <w:tc>
          <w:tcPr>
            <w:tcW w:w="22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696,558</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w w:val="95"/>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194,440</w:t>
            </w: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108,529</w:t>
            </w:r>
          </w:p>
        </w:tc>
        <w:tc>
          <w:tcPr>
            <w:tcW w:w="260" w:type="dxa"/>
            <w:vAlign w:val="bottom"/>
            <w:shd w:val="clear" w:color="auto" w:fill="CCEEFF"/>
          </w:tcPr>
          <w:p>
            <w:pPr>
              <w:spacing w:after="0"/>
              <w:rPr>
                <w:sz w:val="18"/>
                <w:szCs w:val="18"/>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296,733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599,702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Other liabilities</w:t>
            </w:r>
          </w:p>
        </w:tc>
        <w:tc>
          <w:tcPr>
            <w:tcW w:w="1040" w:type="dxa"/>
            <w:vAlign w:val="bottom"/>
          </w:tcPr>
          <w:p>
            <w:pPr>
              <w:jc w:val="right"/>
              <w:spacing w:after="0"/>
              <w:rPr>
                <w:sz w:val="20"/>
                <w:szCs w:val="20"/>
                <w:color w:val="auto"/>
              </w:rPr>
            </w:pPr>
            <w:r>
              <w:rPr>
                <w:rFonts w:ascii="Arial" w:cs="Arial" w:eastAsia="Arial" w:hAnsi="Arial"/>
                <w:sz w:val="18"/>
                <w:szCs w:val="18"/>
                <w:color w:val="auto"/>
              </w:rPr>
              <w:t>3,414</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92,827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96,241</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3,414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194,440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108,529</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389,560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695,943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366</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78</w:t>
            </w:r>
          </w:p>
        </w:tc>
        <w:tc>
          <w:tcPr>
            <w:tcW w:w="240" w:type="dxa"/>
            <w:vAlign w:val="bottom"/>
            <w:shd w:val="clear" w:color="auto" w:fill="CCEEFF"/>
          </w:tcPr>
          <w:p>
            <w:pPr>
              <w:spacing w:after="0"/>
              <w:rPr>
                <w:sz w:val="21"/>
                <w:szCs w:val="21"/>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18</w:t>
            </w:r>
          </w:p>
        </w:tc>
        <w:tc>
          <w:tcPr>
            <w:tcW w:w="26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38</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36</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79</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615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660" w:right="2300" w:hanging="5085"/>
        <w:spacing w:after="0" w:line="372" w:lineRule="auto"/>
        <w:tabs>
          <w:tab w:leader="none" w:pos="825" w:val="left"/>
        </w:tabs>
        <w:numPr>
          <w:ilvl w:val="0"/>
          <w:numId w:val="79"/>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67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-119380</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9" w:name="page70"/>
    <w:bookmarkEnd w:id="69"/>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jc w:val="both"/>
        <w:ind w:left="500" w:right="8580" w:hanging="492"/>
        <w:spacing w:after="0" w:line="569" w:lineRule="auto"/>
        <w:tabs>
          <w:tab w:leader="none" w:pos="500" w:val="left"/>
        </w:tabs>
        <w:numPr>
          <w:ilvl w:val="0"/>
          <w:numId w:val="80"/>
        </w:numPr>
        <w:rPr>
          <w:rFonts w:ascii="Arial" w:cs="Arial" w:eastAsia="Arial" w:hAnsi="Arial"/>
          <w:sz w:val="16"/>
          <w:szCs w:val="16"/>
          <w:b w:val="1"/>
          <w:bCs w:val="1"/>
          <w:color w:val="auto"/>
        </w:rPr>
      </w:pPr>
      <w:r>
        <w:rPr>
          <w:rFonts w:ascii="Arial" w:cs="Arial" w:eastAsia="Arial" w:hAnsi="Arial"/>
          <w:sz w:val="16"/>
          <w:szCs w:val="16"/>
          <w:b w:val="1"/>
          <w:bCs w:val="1"/>
          <w:color w:val="auto"/>
        </w:rPr>
        <w:t>Risk management (continued) 17.3 Market risk (continued) Currency risk (continued)</w:t>
      </w:r>
    </w:p>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274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2520" w:type="dxa"/>
            <w:vAlign w:val="bottom"/>
            <w:tcBorders>
              <w:bottom w:val="single" w:sz="8" w:color="auto"/>
            </w:tcBorders>
            <w:gridSpan w:val="4"/>
          </w:tcPr>
          <w:p>
            <w:pPr>
              <w:jc w:val="right"/>
              <w:ind w:right="80"/>
              <w:spacing w:after="0"/>
              <w:rPr>
                <w:sz w:val="20"/>
                <w:szCs w:val="20"/>
                <w:color w:val="auto"/>
              </w:rPr>
            </w:pPr>
            <w:r>
              <w:rPr>
                <w:rFonts w:ascii="Arial" w:cs="Arial" w:eastAsia="Arial" w:hAnsi="Arial"/>
                <w:sz w:val="18"/>
                <w:szCs w:val="18"/>
                <w:b w:val="1"/>
                <w:bCs w:val="1"/>
                <w:color w:val="auto"/>
              </w:rPr>
              <w:t>December 31, 2015</w:t>
            </w:r>
          </w:p>
        </w:tc>
        <w:tc>
          <w:tcPr>
            <w:tcW w:w="10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2740" w:type="dxa"/>
            <w:vAlign w:val="bottom"/>
          </w:tcPr>
          <w:p>
            <w:pPr>
              <w:spacing w:after="0"/>
              <w:rPr>
                <w:sz w:val="17"/>
                <w:szCs w:val="17"/>
                <w:color w:val="auto"/>
              </w:rPr>
            </w:pP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Brazilian</w:t>
            </w:r>
          </w:p>
        </w:tc>
        <w:tc>
          <w:tcPr>
            <w:tcW w:w="128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1"/>
              </w:rPr>
              <w:t>European</w:t>
            </w:r>
          </w:p>
        </w:tc>
        <w:tc>
          <w:tcPr>
            <w:tcW w:w="130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85"/>
              </w:rPr>
              <w:t>Japanese</w:t>
            </w:r>
          </w:p>
        </w:tc>
        <w:tc>
          <w:tcPr>
            <w:tcW w:w="122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0"/>
              </w:rPr>
              <w:t>Colombian</w:t>
            </w:r>
          </w:p>
        </w:tc>
        <w:tc>
          <w:tcPr>
            <w:tcW w:w="1240" w:type="dxa"/>
            <w:vAlign w:val="bottom"/>
            <w:gridSpan w:val="2"/>
          </w:tcPr>
          <w:p>
            <w:pPr>
              <w:jc w:val="center"/>
              <w:ind w:right="220"/>
              <w:spacing w:after="0" w:line="196" w:lineRule="exact"/>
              <w:rPr>
                <w:sz w:val="20"/>
                <w:szCs w:val="20"/>
                <w:color w:val="auto"/>
              </w:rPr>
            </w:pPr>
            <w:r>
              <w:rPr>
                <w:rFonts w:ascii="Arial" w:cs="Arial" w:eastAsia="Arial" w:hAnsi="Arial"/>
                <w:sz w:val="18"/>
                <w:szCs w:val="18"/>
                <w:b w:val="1"/>
                <w:bCs w:val="1"/>
                <w:color w:val="auto"/>
                <w:w w:val="92"/>
              </w:rPr>
              <w:t>Mexican</w:t>
            </w:r>
          </w:p>
        </w:tc>
        <w:tc>
          <w:tcPr>
            <w:tcW w:w="1220" w:type="dxa"/>
            <w:vAlign w:val="bottom"/>
            <w:gridSpan w:val="2"/>
          </w:tcPr>
          <w:p>
            <w:pPr>
              <w:jc w:val="center"/>
              <w:ind w:right="240"/>
              <w:spacing w:after="0" w:line="196" w:lineRule="exact"/>
              <w:rPr>
                <w:sz w:val="20"/>
                <w:szCs w:val="20"/>
                <w:color w:val="auto"/>
              </w:rPr>
            </w:pPr>
            <w:r>
              <w:rPr>
                <w:rFonts w:ascii="Arial" w:cs="Arial" w:eastAsia="Arial" w:hAnsi="Arial"/>
                <w:sz w:val="18"/>
                <w:szCs w:val="18"/>
                <w:b w:val="1"/>
                <w:bCs w:val="1"/>
                <w:color w:val="auto"/>
                <w:w w:val="95"/>
              </w:rPr>
              <w:t>Other</w:t>
            </w: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4"/>
              </w:rPr>
              <w:t>Real</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Euro</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Peso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78"/>
              </w:rPr>
              <w:t>Peso</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currencies</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18"/>
                <w:szCs w:val="18"/>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5"/>
              </w:rPr>
              <w:t>expressed</w:t>
            </w:r>
          </w:p>
        </w:tc>
        <w:tc>
          <w:tcPr>
            <w:tcW w:w="12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expressed</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3"/>
              </w:rPr>
              <w:t>expressed</w:t>
            </w:r>
          </w:p>
        </w:tc>
        <w:tc>
          <w:tcPr>
            <w:tcW w:w="122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3"/>
              </w:rPr>
              <w:t>expressed</w:t>
            </w: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20" w:type="dxa"/>
            <w:vAlign w:val="bottom"/>
          </w:tcPr>
          <w:p>
            <w:pPr>
              <w:spacing w:after="0"/>
              <w:rPr>
                <w:sz w:val="23"/>
                <w:szCs w:val="23"/>
                <w:color w:val="auto"/>
              </w:rPr>
            </w:pPr>
          </w:p>
        </w:tc>
        <w:tc>
          <w:tcPr>
            <w:tcW w:w="2740" w:type="dxa"/>
            <w:vAlign w:val="bottom"/>
          </w:tcPr>
          <w:p>
            <w:pPr>
              <w:spacing w:after="0"/>
              <w:rPr>
                <w:sz w:val="23"/>
                <w:szCs w:val="23"/>
                <w:color w:val="auto"/>
              </w:rPr>
            </w:pP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3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 US$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in US$</w:t>
            </w:r>
          </w:p>
        </w:tc>
        <w:tc>
          <w:tcPr>
            <w:tcW w:w="12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2"/>
              </w:rPr>
              <w:t>in US$</w:t>
            </w:r>
          </w:p>
        </w:tc>
        <w:tc>
          <w:tcPr>
            <w:tcW w:w="1220" w:type="dxa"/>
            <w:vAlign w:val="bottom"/>
            <w:gridSpan w:val="2"/>
          </w:tcPr>
          <w:p>
            <w:pPr>
              <w:jc w:val="center"/>
              <w:ind w:right="220"/>
              <w:spacing w:after="0" w:line="269" w:lineRule="exact"/>
              <w:rPr>
                <w:sz w:val="20"/>
                <w:szCs w:val="20"/>
                <w:color w:val="auto"/>
              </w:rPr>
            </w:pPr>
            <w:r>
              <w:rPr>
                <w:rFonts w:ascii="Arial" w:cs="Arial" w:eastAsia="Arial" w:hAnsi="Arial"/>
                <w:sz w:val="18"/>
                <w:szCs w:val="18"/>
                <w:b w:val="1"/>
                <w:bCs w:val="1"/>
                <w:color w:val="auto"/>
                <w:w w:val="84"/>
              </w:rPr>
              <w:t>in US$</w:t>
            </w:r>
            <w:r>
              <w:rPr>
                <w:rFonts w:ascii="Arial" w:cs="Arial" w:eastAsia="Arial" w:hAnsi="Arial"/>
                <w:sz w:val="30"/>
                <w:szCs w:val="30"/>
                <w:b w:val="1"/>
                <w:bCs w:val="1"/>
                <w:color w:val="auto"/>
                <w:w w:val="84"/>
                <w:vertAlign w:val="superscript"/>
              </w:rPr>
              <w:t>(1)</w:t>
            </w:r>
          </w:p>
        </w:tc>
        <w:tc>
          <w:tcPr>
            <w:tcW w:w="1120" w:type="dxa"/>
            <w:vAlign w:val="bottom"/>
            <w:gridSpan w:val="2"/>
          </w:tcPr>
          <w:p>
            <w:pPr>
              <w:ind w:left="3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2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Exchange rate</w:t>
            </w: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3.96</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1.09</w:t>
            </w:r>
          </w:p>
        </w:tc>
        <w:tc>
          <w:tcPr>
            <w:tcW w:w="240" w:type="dxa"/>
            <w:vAlign w:val="bottom"/>
            <w:tcBorders>
              <w:top w:val="single" w:sz="8" w:color="CCEEFF"/>
            </w:tcBorders>
            <w:shd w:val="clear" w:color="auto" w:fill="CCEEFF"/>
          </w:tcPr>
          <w:p>
            <w:pPr>
              <w:spacing w:after="0"/>
              <w:rPr>
                <w:sz w:val="18"/>
                <w:szCs w:val="18"/>
                <w:color w:val="auto"/>
              </w:rPr>
            </w:pPr>
          </w:p>
        </w:tc>
        <w:tc>
          <w:tcPr>
            <w:tcW w:w="10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120.40</w:t>
            </w: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3,175.18</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17.34</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27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Cash and cash equivalent</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405</w:t>
            </w:r>
          </w:p>
        </w:tc>
        <w:tc>
          <w:tcPr>
            <w:tcW w:w="1280" w:type="dxa"/>
            <w:vAlign w:val="bottom"/>
            <w:gridSpan w:val="2"/>
          </w:tcPr>
          <w:p>
            <w:pPr>
              <w:jc w:val="right"/>
              <w:ind w:right="240"/>
              <w:spacing w:after="0"/>
              <w:rPr>
                <w:sz w:val="20"/>
                <w:szCs w:val="20"/>
                <w:color w:val="auto"/>
              </w:rPr>
            </w:pPr>
            <w:r>
              <w:rPr>
                <w:rFonts w:ascii="Arial" w:cs="Arial" w:eastAsia="Arial" w:hAnsi="Arial"/>
                <w:sz w:val="18"/>
                <w:szCs w:val="18"/>
                <w:color w:val="auto"/>
              </w:rPr>
              <w:t>6</w:t>
            </w:r>
          </w:p>
        </w:tc>
        <w:tc>
          <w:tcPr>
            <w:tcW w:w="1300" w:type="dxa"/>
            <w:vAlign w:val="bottom"/>
            <w:gridSpan w:val="2"/>
          </w:tcPr>
          <w:p>
            <w:pPr>
              <w:jc w:val="right"/>
              <w:ind w:right="260"/>
              <w:spacing w:after="0"/>
              <w:rPr>
                <w:sz w:val="20"/>
                <w:szCs w:val="20"/>
                <w:color w:val="auto"/>
              </w:rPr>
            </w:pPr>
            <w:r>
              <w:rPr>
                <w:rFonts w:ascii="Arial" w:cs="Arial" w:eastAsia="Arial" w:hAnsi="Arial"/>
                <w:sz w:val="18"/>
                <w:szCs w:val="18"/>
                <w:color w:val="auto"/>
              </w:rPr>
              <w:t>5</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50</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887</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150</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1,503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2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Investments and other financial</w:t>
            </w: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3,818</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60" w:type="dxa"/>
            <w:vAlign w:val="bottom"/>
            <w:shd w:val="clear" w:color="auto" w:fill="CCEEFF"/>
          </w:tcPr>
          <w:p>
            <w:pPr>
              <w:spacing w:after="0"/>
              <w:rPr>
                <w:sz w:val="20"/>
                <w:szCs w:val="20"/>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Loans at amortized cost</w:t>
            </w: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8"/>
                <w:szCs w:val="18"/>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8"/>
                <w:szCs w:val="18"/>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136,896</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136,896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271,005</w:t>
            </w:r>
          </w:p>
        </w:tc>
        <w:tc>
          <w:tcPr>
            <w:tcW w:w="240" w:type="dxa"/>
            <w:vAlign w:val="bottom"/>
            <w:shd w:val="clear" w:color="auto" w:fill="CCEEFF"/>
          </w:tcPr>
          <w:p>
            <w:pPr>
              <w:spacing w:after="0"/>
              <w:rPr>
                <w:sz w:val="19"/>
                <w:szCs w:val="19"/>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38,208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28,831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338,044</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2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4,223</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271,011</w:t>
            </w:r>
          </w:p>
        </w:tc>
        <w:tc>
          <w:tcPr>
            <w:tcW w:w="240" w:type="dxa"/>
            <w:vAlign w:val="bottom"/>
            <w:tcBorders>
              <w:bottom w:val="single" w:sz="8" w:color="CCEEFF"/>
            </w:tcBorders>
          </w:tcPr>
          <w:p>
            <w:pPr>
              <w:spacing w:after="0"/>
              <w:rPr>
                <w:sz w:val="22"/>
                <w:szCs w:val="22"/>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38,213</w:t>
            </w:r>
          </w:p>
        </w:tc>
        <w:tc>
          <w:tcPr>
            <w:tcW w:w="26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168,215</w:t>
            </w:r>
          </w:p>
        </w:tc>
        <w:tc>
          <w:tcPr>
            <w:tcW w:w="220" w:type="dxa"/>
            <w:vAlign w:val="bottom"/>
            <w:tcBorders>
              <w:bottom w:val="single" w:sz="8" w:color="CCEEFF"/>
            </w:tcBorders>
          </w:tcPr>
          <w:p>
            <w:pPr>
              <w:spacing w:after="0"/>
              <w:rPr>
                <w:sz w:val="22"/>
                <w:szCs w:val="22"/>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150</w:t>
            </w:r>
          </w:p>
        </w:tc>
        <w:tc>
          <w:tcPr>
            <w:tcW w:w="220" w:type="dxa"/>
            <w:vAlign w:val="bottom"/>
            <w:tcBorders>
              <w:bottom w:val="single" w:sz="8" w:color="CCEEFF"/>
            </w:tcBorders>
          </w:tcPr>
          <w:p>
            <w:pPr>
              <w:spacing w:after="0"/>
              <w:rPr>
                <w:sz w:val="22"/>
                <w:szCs w:val="22"/>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481,862</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04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2740" w:type="dxa"/>
            <w:vAlign w:val="bottom"/>
          </w:tcPr>
          <w:p>
            <w:pPr>
              <w:spacing w:after="0"/>
              <w:rPr>
                <w:sz w:val="20"/>
                <w:szCs w:val="20"/>
                <w:color w:val="auto"/>
              </w:rPr>
            </w:pPr>
            <w:r>
              <w:rPr>
                <w:rFonts w:ascii="Arial" w:cs="Arial" w:eastAsia="Arial" w:hAnsi="Arial"/>
                <w:sz w:val="18"/>
                <w:szCs w:val="18"/>
                <w:b w:val="1"/>
                <w:bCs w:val="1"/>
                <w:color w:val="auto"/>
              </w:rPr>
              <w:t>Liabilities</w:t>
            </w: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color w:val="auto"/>
                <w:w w:val="95"/>
              </w:rPr>
              <w:t>Borrowings and deposit placements</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18"/>
                <w:szCs w:val="18"/>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270,913</w:t>
            </w:r>
          </w:p>
        </w:tc>
        <w:tc>
          <w:tcPr>
            <w:tcW w:w="24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38,208</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168,103</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477,224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2740" w:type="dxa"/>
            <w:vAlign w:val="bottom"/>
          </w:tcPr>
          <w:p>
            <w:pPr>
              <w:spacing w:after="0"/>
              <w:rPr>
                <w:sz w:val="20"/>
                <w:szCs w:val="20"/>
                <w:color w:val="auto"/>
              </w:rPr>
            </w:pPr>
            <w:r>
              <w:rPr>
                <w:rFonts w:ascii="Arial" w:cs="Arial" w:eastAsia="Arial" w:hAnsi="Arial"/>
                <w:sz w:val="18"/>
                <w:szCs w:val="18"/>
                <w:color w:val="auto"/>
              </w:rPr>
              <w:t>Other liabilities</w:t>
            </w:r>
          </w:p>
        </w:tc>
        <w:tc>
          <w:tcPr>
            <w:tcW w:w="1040" w:type="dxa"/>
            <w:vAlign w:val="bottom"/>
          </w:tcPr>
          <w:p>
            <w:pPr>
              <w:jc w:val="right"/>
              <w:spacing w:after="0"/>
              <w:rPr>
                <w:sz w:val="20"/>
                <w:szCs w:val="20"/>
                <w:color w:val="auto"/>
              </w:rPr>
            </w:pPr>
            <w:r>
              <w:rPr>
                <w:rFonts w:ascii="Arial" w:cs="Arial" w:eastAsia="Arial" w:hAnsi="Arial"/>
                <w:sz w:val="18"/>
                <w:szCs w:val="18"/>
                <w:color w:val="auto"/>
              </w:rPr>
              <w:t>3,883</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8"/>
                <w:szCs w:val="18"/>
                <w:color w:val="auto"/>
              </w:rPr>
              <w:t>-</w:t>
            </w:r>
          </w:p>
        </w:tc>
        <w:tc>
          <w:tcPr>
            <w:tcW w:w="260" w:type="dxa"/>
            <w:vAlign w:val="bottom"/>
          </w:tcPr>
          <w:p>
            <w:pPr>
              <w:spacing w:after="0"/>
              <w:rPr>
                <w:sz w:val="19"/>
                <w:szCs w:val="19"/>
                <w:color w:val="auto"/>
              </w:rPr>
            </w:pP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3,883</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27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3,883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270,913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38,208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168,103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481,107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27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2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340</w:t>
            </w:r>
          </w:p>
        </w:tc>
        <w:tc>
          <w:tcPr>
            <w:tcW w:w="10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98</w:t>
            </w:r>
          </w:p>
        </w:tc>
        <w:tc>
          <w:tcPr>
            <w:tcW w:w="24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b w:val="1"/>
                <w:bCs w:val="1"/>
                <w:color w:val="auto"/>
              </w:rPr>
              <w:t>5</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50</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112</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150</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755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500" w:right="1960" w:firstLine="156"/>
        <w:spacing w:after="0" w:line="372" w:lineRule="auto"/>
        <w:tabs>
          <w:tab w:leader="none" w:pos="1148" w:val="left"/>
        </w:tabs>
        <w:numPr>
          <w:ilvl w:val="0"/>
          <w:numId w:val="81"/>
        </w:numPr>
        <w:rPr>
          <w:rFonts w:ascii="Arial" w:cs="Arial" w:eastAsia="Arial" w:hAnsi="Arial"/>
          <w:sz w:val="30"/>
          <w:szCs w:val="30"/>
          <w:b w:val="1"/>
          <w:bCs w:val="1"/>
          <w:color w:val="auto"/>
          <w:vertAlign w:val="superscript"/>
        </w:rPr>
      </w:pPr>
      <w:r>
        <w:rPr>
          <w:rFonts w:ascii="Arial" w:cs="Arial" w:eastAsia="Arial" w:hAnsi="Arial"/>
          <w:sz w:val="18"/>
          <w:szCs w:val="18"/>
          <w:color w:val="auto"/>
        </w:rPr>
        <w:t>It includes other currencies such as: Australian- dollar, Canadian dollar, Swiss franc, Peruvian soles and Remimbis</w:t>
      </w:r>
      <w:r>
        <w:rPr>
          <w:rFonts w:ascii="Arial" w:cs="Arial" w:eastAsia="Arial" w:hAnsi="Arial"/>
          <w:sz w:val="18"/>
          <w:szCs w:val="18"/>
          <w:b w:val="1"/>
          <w:bCs w:val="1"/>
          <w:color w:val="auto"/>
        </w:rPr>
        <w:t>.</w:t>
      </w:r>
      <w:r>
        <w:rPr>
          <w:rFonts w:ascii="Arial" w:cs="Arial" w:eastAsia="Arial" w:hAnsi="Arial"/>
          <w:sz w:val="18"/>
          <w:szCs w:val="18"/>
          <w:color w:val="auto"/>
        </w:rPr>
        <w:t xml:space="preserve"> </w:t>
      </w:r>
      <w:r>
        <w:rPr>
          <w:rFonts w:ascii="Arial" w:cs="Arial" w:eastAsia="Arial" w:hAnsi="Arial"/>
          <w:sz w:val="18"/>
          <w:szCs w:val="18"/>
          <w:b w:val="1"/>
          <w:bCs w:val="1"/>
          <w:color w:val="auto"/>
        </w:rPr>
        <w:t>17.4 Operational Risk</w:t>
      </w:r>
    </w:p>
    <w:p>
      <w:pPr>
        <w:spacing w:after="0" w:line="13" w:lineRule="exact"/>
        <w:rPr>
          <w:sz w:val="20"/>
          <w:szCs w:val="20"/>
          <w:color w:val="auto"/>
        </w:rPr>
      </w:pPr>
    </w:p>
    <w:p>
      <w:pPr>
        <w:jc w:val="both"/>
        <w:ind w:left="500"/>
        <w:spacing w:after="0" w:line="270" w:lineRule="auto"/>
        <w:rPr>
          <w:sz w:val="20"/>
          <w:szCs w:val="20"/>
          <w:color w:val="auto"/>
        </w:rPr>
      </w:pPr>
      <w:r>
        <w:rPr>
          <w:rFonts w:ascii="Arial" w:cs="Arial" w:eastAsia="Arial" w:hAnsi="Arial"/>
          <w:sz w:val="17"/>
          <w:szCs w:val="17"/>
          <w:color w:val="auto"/>
        </w:rPr>
        <w:t>Operational risk is the risk of loss arising from systems failure, human error, fraud or external events. When controls fail to operate effectively, operational risks can cause damage to reputation, have legal or regulatory implications, or lead to financial loss. Bladex, like all financial institutions, is exposed to operational risks, including the risk of fraud by employees and outsiders, failure to obtain proper internal authorizations, failure to properly document transactions, equipment failures, and errors by employees, and any failure, interruption or breach in the security or operation of the Bank’s information technology systems could result in interruptions in such activities. Operational problems or errors may occur, and their occurrence may have a material adverse impact on the Bank’s business, financial condition, results of operations and cash flows. The Bank cannot expect to eliminate all operational risks, but it endeavors to manage these risks through a control framework and by monitoring and responding to potential risks. Controls include effective segregation of duties, access, authorization and reconciliation procedures, staff education and assessment processes, such as the use of internal audit.</w:t>
      </w:r>
    </w:p>
    <w:p>
      <w:pPr>
        <w:spacing w:after="0" w:line="398"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0" w:name="page71"/>
    <w:bookmarkEnd w:id="70"/>
    <w:p>
      <w:pPr>
        <w:ind w:right="56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136" w:lineRule="exact"/>
        <w:rPr>
          <w:sz w:val="20"/>
          <w:szCs w:val="20"/>
          <w:color w:val="auto"/>
        </w:rPr>
      </w:pPr>
    </w:p>
    <w:p>
      <w:pPr>
        <w:ind w:left="500" w:hanging="492"/>
        <w:spacing w:after="0"/>
        <w:tabs>
          <w:tab w:leader="none" w:pos="50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Risk management (continued)</w:t>
      </w:r>
    </w:p>
    <w:p>
      <w:pPr>
        <w:spacing w:after="0" w:line="225" w:lineRule="exact"/>
        <w:rPr>
          <w:rFonts w:ascii="Arial" w:cs="Arial" w:eastAsia="Arial" w:hAnsi="Arial"/>
          <w:sz w:val="18"/>
          <w:szCs w:val="18"/>
          <w:b w:val="1"/>
          <w:bCs w:val="1"/>
          <w:color w:val="auto"/>
        </w:rPr>
      </w:pPr>
    </w:p>
    <w:p>
      <w:pPr>
        <w:ind w:left="500" w:right="8180"/>
        <w:spacing w:after="0" w:line="533" w:lineRule="auto"/>
        <w:rPr>
          <w:rFonts w:ascii="Arial" w:cs="Arial" w:eastAsia="Arial" w:hAnsi="Arial"/>
          <w:sz w:val="18"/>
          <w:szCs w:val="18"/>
          <w:b w:val="1"/>
          <w:bCs w:val="1"/>
          <w:color w:val="auto"/>
        </w:rPr>
      </w:pPr>
      <w:r>
        <w:rPr>
          <w:rFonts w:ascii="Arial" w:cs="Arial" w:eastAsia="Arial" w:hAnsi="Arial"/>
          <w:sz w:val="17"/>
          <w:szCs w:val="17"/>
          <w:b w:val="1"/>
          <w:bCs w:val="1"/>
          <w:color w:val="auto"/>
        </w:rPr>
        <w:t>17.4 Operational Risk (continued) Capital management</w:t>
      </w:r>
    </w:p>
    <w:p>
      <w:pPr>
        <w:ind w:left="500"/>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The primary objectives of the Bank’s capital management policy are to ensure that the Bank complies with externally imposed capital requirements and maintains strong credit ratings and healthy capital ratios in order to support its business and to maximize shareholder value.</w:t>
      </w:r>
    </w:p>
    <w:p>
      <w:pPr>
        <w:spacing w:after="0" w:line="146" w:lineRule="exact"/>
        <w:rPr>
          <w:rFonts w:ascii="Arial" w:cs="Arial" w:eastAsia="Arial" w:hAnsi="Arial"/>
          <w:sz w:val="18"/>
          <w:szCs w:val="18"/>
          <w:b w:val="1"/>
          <w:bCs w:val="1"/>
          <w:color w:val="auto"/>
        </w:rPr>
      </w:pPr>
    </w:p>
    <w:p>
      <w:pPr>
        <w:jc w:val="both"/>
        <w:ind w:left="5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manages its capital structure and makes adjustments to it according to changes in economic conditions and the risk characteristics of its activities. In order to maintain or adjust the capital structure, the Bank may adjust the amount of dividend payment to shareholders, return capital to shareholders or issue capital securities. No changes have been made to the objectives, policies and processes from the previous periods. However, they are under constant review by the Board.</w:t>
      </w:r>
    </w:p>
    <w:p>
      <w:pPr>
        <w:spacing w:after="0" w:line="183" w:lineRule="exact"/>
        <w:rPr>
          <w:sz w:val="20"/>
          <w:szCs w:val="20"/>
          <w:color w:val="auto"/>
        </w:rPr>
      </w:pPr>
    </w:p>
    <w:tbl>
      <w:tblPr>
        <w:tblLayout w:type="fixed"/>
        <w:tblInd w:w="5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60" w:type="dxa"/>
            <w:vAlign w:val="bottom"/>
          </w:tcPr>
          <w:p>
            <w:pPr>
              <w:spacing w:after="0"/>
              <w:rPr>
                <w:sz w:val="18"/>
                <w:szCs w:val="18"/>
                <w:color w:val="auto"/>
              </w:rPr>
            </w:pPr>
          </w:p>
        </w:tc>
        <w:tc>
          <w:tcPr>
            <w:tcW w:w="168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9"/>
              </w:rPr>
              <w:t>September 30,</w:t>
            </w:r>
          </w:p>
        </w:tc>
        <w:tc>
          <w:tcPr>
            <w:tcW w:w="15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6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2016</w:t>
            </w:r>
          </w:p>
        </w:tc>
        <w:tc>
          <w:tcPr>
            <w:tcW w:w="300" w:type="dxa"/>
            <w:vAlign w:val="bottom"/>
            <w:tcBorders>
              <w:bottom w:val="single" w:sz="8" w:color="CCEEFF"/>
            </w:tcBorders>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4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Tier 1 capital</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1,071,515</w:t>
            </w:r>
          </w:p>
        </w:tc>
        <w:tc>
          <w:tcPr>
            <w:tcW w:w="300" w:type="dxa"/>
            <w:vAlign w:val="bottom"/>
            <w:tcBorders>
              <w:bottom w:val="single" w:sz="8" w:color="CCEEFF"/>
            </w:tcBorders>
            <w:shd w:val="clear" w:color="auto" w:fill="CCEEFF"/>
          </w:tcPr>
          <w:p>
            <w:pPr>
              <w:spacing w:after="0"/>
              <w:rPr>
                <w:sz w:val="19"/>
                <w:szCs w:val="19"/>
                <w:color w:val="auto"/>
              </w:rPr>
            </w:pPr>
          </w:p>
        </w:tc>
        <w:tc>
          <w:tcPr>
            <w:tcW w:w="13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1,050,778</w:t>
            </w:r>
          </w:p>
        </w:tc>
        <w:tc>
          <w:tcPr>
            <w:tcW w:w="2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746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3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 weighted assets</w:t>
            </w:r>
          </w:p>
        </w:tc>
        <w:tc>
          <w:tcPr>
            <w:tcW w:w="16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6,685,943</w:t>
            </w:r>
          </w:p>
        </w:tc>
        <w:tc>
          <w:tcPr>
            <w:tcW w:w="15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6,460,108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46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Tier 1 capital ratio</w:t>
            </w:r>
          </w:p>
        </w:tc>
        <w:tc>
          <w:tcPr>
            <w:tcW w:w="16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16.03%</w:t>
            </w:r>
          </w:p>
        </w:tc>
        <w:tc>
          <w:tcPr>
            <w:tcW w:w="1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16.27%</w:t>
            </w:r>
          </w:p>
        </w:tc>
        <w:tc>
          <w:tcPr>
            <w:tcW w:w="0" w:type="dxa"/>
            <w:vAlign w:val="bottom"/>
          </w:tcPr>
          <w:p>
            <w:pPr>
              <w:spacing w:after="0"/>
              <w:rPr>
                <w:sz w:val="1"/>
                <w:szCs w:val="1"/>
                <w:color w:val="auto"/>
              </w:rPr>
            </w:pPr>
          </w:p>
        </w:tc>
      </w:tr>
    </w:tbl>
    <w:p>
      <w:pPr>
        <w:spacing w:after="0" w:line="198" w:lineRule="exact"/>
        <w:rPr>
          <w:sz w:val="20"/>
          <w:szCs w:val="20"/>
          <w:color w:val="auto"/>
        </w:rPr>
      </w:pPr>
    </w:p>
    <w:p>
      <w:pPr>
        <w:ind w:left="500" w:hanging="492"/>
        <w:spacing w:after="0"/>
        <w:tabs>
          <w:tab w:leader="none" w:pos="50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Subsequent Events</w:t>
      </w:r>
    </w:p>
    <w:p>
      <w:pPr>
        <w:spacing w:after="0" w:line="229" w:lineRule="exact"/>
        <w:rPr>
          <w:rFonts w:ascii="Arial" w:cs="Arial" w:eastAsia="Arial" w:hAnsi="Arial"/>
          <w:sz w:val="18"/>
          <w:szCs w:val="18"/>
          <w:b w:val="1"/>
          <w:bCs w:val="1"/>
          <w:color w:val="auto"/>
        </w:rPr>
      </w:pPr>
    </w:p>
    <w:p>
      <w:pPr>
        <w:ind w:left="500" w:right="2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Bladex announced a quarterly cash dividend of $0.385 per share corresponding to the third quarter of 2016. The cash dividend was approved by the Board of Directors on October 18, 2016 and it is payable on November 17, 2016 to the Bank’s stockholders as of the October 31, 2016 record date.</w:t>
      </w:r>
    </w:p>
    <w:p>
      <w:pPr>
        <w:spacing w:after="0" w:line="340" w:lineRule="exact"/>
        <w:rPr>
          <w:sz w:val="20"/>
          <w:szCs w:val="20"/>
          <w:color w:val="auto"/>
        </w:rPr>
      </w:pPr>
    </w:p>
    <w:p>
      <w:pPr>
        <w:jc w:val="center"/>
        <w:ind w:right="-59"/>
        <w:spacing w:after="0"/>
        <w:rPr>
          <w:sz w:val="20"/>
          <w:szCs w:val="20"/>
          <w:color w:val="auto"/>
        </w:rPr>
      </w:pPr>
      <w:r>
        <w:rPr>
          <w:rFonts w:ascii="Arial" w:cs="Arial" w:eastAsia="Arial" w:hAnsi="Arial"/>
          <w:sz w:val="18"/>
          <w:szCs w:val="18"/>
          <w:color w:val="auto"/>
        </w:rPr>
        <w:t>69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5"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0A64E2A"/>
    <w:multiLevelType w:val="hybridMultilevel"/>
    <w:lvl w:ilvl="0">
      <w:lvlJc w:val="left"/>
      <w:lvlText w:val="%1."/>
      <w:numFmt w:val="decimal"/>
      <w:start w:val="1"/>
    </w:lvl>
    <w:lvl w:ilvl="1">
      <w:lvlJc w:val="left"/>
      <w:lvlText w:val="-"/>
      <w:numFmt w:val="bullet"/>
      <w:start w:val="1"/>
    </w:lvl>
  </w:abstractNum>
  <w:abstractNum w:abstractNumId="1">
    <w:nsid w:val="6A2342EC"/>
    <w:multiLevelType w:val="hybridMultilevel"/>
    <w:lvl w:ilvl="0">
      <w:lvlJc w:val="left"/>
      <w:lvlText w:val="%1."/>
      <w:numFmt w:val="decimal"/>
      <w:start w:val="1"/>
    </w:lvl>
  </w:abstractNum>
  <w:abstractNum w:abstractNumId="2">
    <w:nsid w:val="2A487CB0"/>
    <w:multiLevelType w:val="hybridMultilevel"/>
    <w:lvl w:ilvl="0">
      <w:lvlJc w:val="left"/>
      <w:lvlText w:val="%1."/>
      <w:numFmt w:val="decimal"/>
      <w:start w:val="4"/>
    </w:lvl>
  </w:abstractNum>
  <w:abstractNum w:abstractNumId="3">
    <w:nsid w:val="1D4ED43B"/>
    <w:multiLevelType w:val="hybridMultilevel"/>
    <w:lvl w:ilvl="0">
      <w:lvlJc w:val="left"/>
      <w:lvlText w:val="%1."/>
      <w:numFmt w:val="decimal"/>
      <w:start w:val="4"/>
    </w:lvl>
  </w:abstractNum>
  <w:abstractNum w:abstractNumId="4">
    <w:nsid w:val="725A06FB"/>
    <w:multiLevelType w:val="hybridMultilevel"/>
    <w:lvl w:ilvl="0">
      <w:lvlJc w:val="left"/>
      <w:lvlText w:val="%1."/>
      <w:numFmt w:val="decimal"/>
      <w:start w:val="4"/>
    </w:lvl>
  </w:abstractNum>
  <w:abstractNum w:abstractNumId="5">
    <w:nsid w:val="2CD89A32"/>
    <w:multiLevelType w:val="hybridMultilevel"/>
    <w:lvl w:ilvl="0">
      <w:lvlJc w:val="left"/>
      <w:lvlText w:val="%1."/>
      <w:numFmt w:val="decimal"/>
      <w:start w:val="4"/>
    </w:lvl>
  </w:abstractNum>
  <w:abstractNum w:abstractNumId="6">
    <w:nsid w:val="57E4CCAF"/>
    <w:multiLevelType w:val="hybridMultilevel"/>
    <w:lvl w:ilvl="0">
      <w:lvlJc w:val="left"/>
      <w:lvlText w:val="%1."/>
      <w:numFmt w:val="decimal"/>
      <w:start w:val="4"/>
    </w:lvl>
  </w:abstractNum>
  <w:abstractNum w:abstractNumId="7">
    <w:nsid w:val="7A6D8D3C"/>
    <w:multiLevelType w:val="hybridMultilevel"/>
    <w:lvl w:ilvl="0">
      <w:lvlJc w:val="left"/>
      <w:lvlText w:val="%1."/>
      <w:numFmt w:val="decimal"/>
      <w:start w:val="4"/>
    </w:lvl>
  </w:abstractNum>
  <w:abstractNum w:abstractNumId="8">
    <w:nsid w:val="4B588F54"/>
    <w:multiLevelType w:val="hybridMultilevel"/>
    <w:lvl w:ilvl="0">
      <w:lvlJc w:val="left"/>
      <w:lvlText w:val="(%1)"/>
      <w:numFmt w:val="decimal"/>
      <w:start w:val="1"/>
    </w:lvl>
  </w:abstractNum>
  <w:abstractNum w:abstractNumId="9">
    <w:nsid w:val="542289EC"/>
    <w:multiLevelType w:val="hybridMultilevel"/>
    <w:lvl w:ilvl="0">
      <w:lvlJc w:val="left"/>
      <w:lvlText w:val="%1."/>
      <w:numFmt w:val="decimal"/>
      <w:start w:val="4"/>
    </w:lvl>
  </w:abstractNum>
  <w:abstractNum w:abstractNumId="10">
    <w:nsid w:val="6DE91B18"/>
    <w:multiLevelType w:val="hybridMultilevel"/>
    <w:lvl w:ilvl="0">
      <w:lvlJc w:val="left"/>
      <w:lvlText w:val="(%1)"/>
      <w:numFmt w:val="decimal"/>
      <w:start w:val="1"/>
    </w:lvl>
  </w:abstractNum>
  <w:abstractNum w:abstractNumId="11">
    <w:nsid w:val="38437FDB"/>
    <w:multiLevelType w:val="hybridMultilevel"/>
    <w:lvl w:ilvl="0">
      <w:lvlJc w:val="left"/>
      <w:lvlText w:val="%1."/>
      <w:numFmt w:val="decimal"/>
      <w:start w:val="4"/>
    </w:lvl>
  </w:abstractNum>
  <w:abstractNum w:abstractNumId="12">
    <w:nsid w:val="7644A45C"/>
    <w:multiLevelType w:val="hybridMultilevel"/>
    <w:lvl w:ilvl="0">
      <w:lvlJc w:val="left"/>
      <w:lvlText w:val="(%1)"/>
      <w:numFmt w:val="decimal"/>
      <w:start w:val="1"/>
    </w:lvl>
  </w:abstractNum>
  <w:abstractNum w:abstractNumId="13">
    <w:nsid w:val="32FFF902"/>
    <w:multiLevelType w:val="hybridMultilevel"/>
    <w:lvl w:ilvl="0">
      <w:lvlJc w:val="left"/>
      <w:lvlText w:val="%1."/>
      <w:numFmt w:val="decimal"/>
      <w:start w:val="4"/>
    </w:lvl>
  </w:abstractNum>
  <w:abstractNum w:abstractNumId="14">
    <w:nsid w:val="684A481A"/>
    <w:multiLevelType w:val="hybridMultilevel"/>
    <w:lvl w:ilvl="0">
      <w:lvlJc w:val="left"/>
      <w:lvlText w:val="(%1)"/>
      <w:numFmt w:val="decimal"/>
      <w:start w:val="1"/>
    </w:lvl>
  </w:abstractNum>
  <w:abstractNum w:abstractNumId="15">
    <w:nsid w:val="579478FE"/>
    <w:multiLevelType w:val="hybridMultilevel"/>
    <w:lvl w:ilvl="0">
      <w:lvlJc w:val="left"/>
      <w:lvlText w:val="%1."/>
      <w:numFmt w:val="decimal"/>
      <w:start w:val="4"/>
    </w:lvl>
  </w:abstractNum>
  <w:abstractNum w:abstractNumId="16">
    <w:nsid w:val="749ABB43"/>
    <w:multiLevelType w:val="hybridMultilevel"/>
    <w:lvl w:ilvl="0">
      <w:lvlJc w:val="left"/>
      <w:lvlText w:val="(%1)"/>
      <w:numFmt w:val="decimal"/>
      <w:start w:val="1"/>
    </w:lvl>
  </w:abstractNum>
  <w:abstractNum w:abstractNumId="17">
    <w:nsid w:val="3DC240FB"/>
    <w:multiLevelType w:val="hybridMultilevel"/>
    <w:lvl w:ilvl="0">
      <w:lvlJc w:val="left"/>
      <w:lvlText w:val="%1."/>
      <w:numFmt w:val="decimal"/>
      <w:start w:val="4"/>
    </w:lvl>
  </w:abstractNum>
  <w:abstractNum w:abstractNumId="18">
    <w:nsid w:val="1BA026FA"/>
    <w:multiLevelType w:val="hybridMultilevel"/>
    <w:lvl w:ilvl="0">
      <w:lvlJc w:val="left"/>
      <w:lvlText w:val="%1."/>
      <w:numFmt w:val="decimal"/>
      <w:start w:val="4"/>
    </w:lvl>
  </w:abstractNum>
  <w:abstractNum w:abstractNumId="19">
    <w:nsid w:val="79A1DEAA"/>
    <w:multiLevelType w:val="hybridMultilevel"/>
    <w:lvl w:ilvl="0">
      <w:lvlJc w:val="left"/>
      <w:lvlText w:val="(%1)"/>
      <w:numFmt w:val="decimal"/>
      <w:start w:val="1"/>
    </w:lvl>
  </w:abstractNum>
  <w:abstractNum w:abstractNumId="20">
    <w:nsid w:val="75C6C33A"/>
    <w:multiLevelType w:val="hybridMultilevel"/>
    <w:lvl w:ilvl="0">
      <w:lvlJc w:val="left"/>
      <w:lvlText w:val="%1."/>
      <w:numFmt w:val="decimal"/>
      <w:start w:val="4"/>
    </w:lvl>
  </w:abstractNum>
  <w:abstractNum w:abstractNumId="21">
    <w:nsid w:val="12E685FB"/>
    <w:multiLevelType w:val="hybridMultilevel"/>
    <w:lvl w:ilvl="0">
      <w:lvlJc w:val="left"/>
      <w:lvlText w:val="%1."/>
      <w:numFmt w:val="decimal"/>
      <w:start w:val="4"/>
    </w:lvl>
  </w:abstractNum>
  <w:abstractNum w:abstractNumId="22">
    <w:nsid w:val="70C6A529"/>
    <w:multiLevelType w:val="hybridMultilevel"/>
    <w:lvl w:ilvl="0">
      <w:lvlJc w:val="left"/>
      <w:lvlText w:val="%1."/>
      <w:numFmt w:val="decimal"/>
      <w:start w:val="4"/>
    </w:lvl>
  </w:abstractNum>
  <w:abstractNum w:abstractNumId="23">
    <w:nsid w:val="520EEDD1"/>
    <w:multiLevelType w:val="hybridMultilevel"/>
    <w:lvl w:ilvl="0">
      <w:lvlJc w:val="left"/>
      <w:lvlText w:val="(%1)"/>
      <w:numFmt w:val="decimal"/>
      <w:start w:val="1"/>
    </w:lvl>
  </w:abstractNum>
  <w:abstractNum w:abstractNumId="24">
    <w:nsid w:val="374A3FE6"/>
    <w:multiLevelType w:val="hybridMultilevel"/>
    <w:lvl w:ilvl="0">
      <w:lvlJc w:val="left"/>
      <w:lvlText w:val="(%1)"/>
      <w:numFmt w:val="decimal"/>
      <w:start w:val="1"/>
    </w:lvl>
  </w:abstractNum>
  <w:abstractNum w:abstractNumId="25">
    <w:nsid w:val="4F4EF005"/>
    <w:multiLevelType w:val="hybridMultilevel"/>
    <w:lvl w:ilvl="0">
      <w:lvlJc w:val="left"/>
      <w:lvlText w:val="%1."/>
      <w:numFmt w:val="decimal"/>
      <w:start w:val="4"/>
    </w:lvl>
  </w:abstractNum>
  <w:abstractNum w:abstractNumId="26">
    <w:nsid w:val="23F9C13C"/>
    <w:multiLevelType w:val="hybridMultilevel"/>
    <w:lvl w:ilvl="0">
      <w:lvlJc w:val="left"/>
      <w:lvlText w:val="%1."/>
      <w:numFmt w:val="decimal"/>
      <w:start w:val="4"/>
    </w:lvl>
  </w:abstractNum>
  <w:abstractNum w:abstractNumId="27">
    <w:nsid w:val="649BB77C"/>
    <w:multiLevelType w:val="hybridMultilevel"/>
    <w:lvl w:ilvl="0">
      <w:lvlJc w:val="left"/>
      <w:lvlText w:val="%1."/>
      <w:numFmt w:val="decimal"/>
      <w:start w:val="4"/>
    </w:lvl>
  </w:abstractNum>
  <w:abstractNum w:abstractNumId="28">
    <w:nsid w:val="275AC794"/>
    <w:multiLevelType w:val="hybridMultilevel"/>
    <w:lvl w:ilvl="0">
      <w:lvlJc w:val="left"/>
      <w:lvlText w:val="(%1)"/>
      <w:numFmt w:val="decimal"/>
      <w:start w:val="1"/>
    </w:lvl>
  </w:abstractNum>
  <w:abstractNum w:abstractNumId="29">
    <w:nsid w:val="39386575"/>
    <w:multiLevelType w:val="hybridMultilevel"/>
    <w:lvl w:ilvl="0">
      <w:lvlJc w:val="left"/>
      <w:lvlText w:val="%1."/>
      <w:numFmt w:val="decimal"/>
      <w:start w:val="4"/>
    </w:lvl>
  </w:abstractNum>
  <w:abstractNum w:abstractNumId="30">
    <w:nsid w:val="1CF10FD8"/>
    <w:multiLevelType w:val="hybridMultilevel"/>
    <w:lvl w:ilvl="0">
      <w:lvlJc w:val="left"/>
      <w:lvlText w:val="%1."/>
      <w:numFmt w:val="decimal"/>
      <w:start w:val="4"/>
    </w:lvl>
  </w:abstractNum>
  <w:abstractNum w:abstractNumId="31">
    <w:nsid w:val="180115BE"/>
    <w:multiLevelType w:val="hybridMultilevel"/>
    <w:lvl w:ilvl="0">
      <w:lvlJc w:val="left"/>
      <w:lvlText w:val="%1."/>
      <w:numFmt w:val="decimal"/>
      <w:start w:val="4"/>
    </w:lvl>
  </w:abstractNum>
  <w:abstractNum w:abstractNumId="32">
    <w:nsid w:val="235BA861"/>
    <w:multiLevelType w:val="hybridMultilevel"/>
    <w:lvl w:ilvl="0">
      <w:lvlJc w:val="left"/>
      <w:lvlText w:val="%1."/>
      <w:numFmt w:val="decimal"/>
      <w:start w:val="4"/>
    </w:lvl>
  </w:abstractNum>
  <w:abstractNum w:abstractNumId="33">
    <w:nsid w:val="47398C89"/>
    <w:multiLevelType w:val="hybridMultilevel"/>
    <w:lvl w:ilvl="0">
      <w:lvlJc w:val="left"/>
      <w:lvlText w:val="%1."/>
      <w:numFmt w:val="decimal"/>
      <w:start w:val="4"/>
    </w:lvl>
  </w:abstractNum>
  <w:abstractNum w:abstractNumId="34">
    <w:nsid w:val="354FE9F9"/>
    <w:multiLevelType w:val="hybridMultilevel"/>
    <w:lvl w:ilvl="0">
      <w:lvlJc w:val="left"/>
      <w:lvlText w:val="%1."/>
      <w:numFmt w:val="decimal"/>
      <w:start w:val="4"/>
    </w:lvl>
  </w:abstractNum>
  <w:abstractNum w:abstractNumId="35">
    <w:nsid w:val="15B5AF5C"/>
    <w:multiLevelType w:val="hybridMultilevel"/>
    <w:lvl w:ilvl="0">
      <w:lvlJc w:val="left"/>
      <w:lvlText w:val="%1."/>
      <w:numFmt w:val="decimal"/>
      <w:start w:val="4"/>
    </w:lvl>
  </w:abstractNum>
  <w:abstractNum w:abstractNumId="36">
    <w:nsid w:val="741226BB"/>
    <w:multiLevelType w:val="hybridMultilevel"/>
    <w:lvl w:ilvl="0">
      <w:lvlJc w:val="left"/>
      <w:lvlText w:val="%1."/>
      <w:numFmt w:val="decimal"/>
      <w:start w:val="4"/>
    </w:lvl>
    <w:lvl w:ilvl="1">
      <w:lvlJc w:val="left"/>
      <w:lvlText w:val="%2)"/>
      <w:numFmt w:val="lowerLetter"/>
      <w:start w:val="1"/>
    </w:lvl>
  </w:abstractNum>
  <w:abstractNum w:abstractNumId="37">
    <w:nsid w:val="D34B6A8"/>
    <w:multiLevelType w:val="hybridMultilevel"/>
    <w:lvl w:ilvl="0">
      <w:lvlJc w:val="left"/>
      <w:lvlText w:val="%1."/>
      <w:numFmt w:val="decimal"/>
      <w:start w:val="4"/>
    </w:lvl>
  </w:abstractNum>
  <w:abstractNum w:abstractNumId="38">
    <w:nsid w:val="10233C99"/>
    <w:multiLevelType w:val="hybridMultilevel"/>
    <w:lvl w:ilvl="0">
      <w:lvlJc w:val="left"/>
      <w:lvlText w:val="%1."/>
      <w:numFmt w:val="decimal"/>
      <w:start w:val="4"/>
    </w:lvl>
    <w:lvl w:ilvl="1">
      <w:lvlJc w:val="left"/>
      <w:lvlText w:val="%2)"/>
      <w:numFmt w:val="lowerLetter"/>
      <w:start w:val="2"/>
    </w:lvl>
  </w:abstractNum>
  <w:abstractNum w:abstractNumId="39">
    <w:nsid w:val="3F6AB60F"/>
    <w:multiLevelType w:val="hybridMultilevel"/>
    <w:lvl w:ilvl="0">
      <w:lvlJc w:val="left"/>
      <w:lvlText w:val="%1."/>
      <w:numFmt w:val="decimal"/>
      <w:start w:val="4"/>
    </w:lvl>
  </w:abstractNum>
  <w:abstractNum w:abstractNumId="40">
    <w:nsid w:val="61574095"/>
    <w:multiLevelType w:val="hybridMultilevel"/>
    <w:lvl w:ilvl="0">
      <w:lvlJc w:val="left"/>
      <w:lvlText w:val="%1."/>
      <w:numFmt w:val="decimal"/>
      <w:start w:val="5"/>
    </w:lvl>
  </w:abstractNum>
  <w:abstractNum w:abstractNumId="41">
    <w:nsid w:val="7E0C57B1"/>
    <w:multiLevelType w:val="hybridMultilevel"/>
    <w:lvl w:ilvl="0">
      <w:lvlJc w:val="left"/>
      <w:lvlText w:val="%1."/>
      <w:numFmt w:val="decimal"/>
      <w:start w:val="7"/>
    </w:lvl>
  </w:abstractNum>
  <w:abstractNum w:abstractNumId="42">
    <w:nsid w:val="77AE35EB"/>
    <w:multiLevelType w:val="hybridMultilevel"/>
    <w:lvl w:ilvl="0">
      <w:lvlJc w:val="left"/>
      <w:lvlText w:val="%1."/>
      <w:numFmt w:val="decimal"/>
      <w:start w:val="8"/>
    </w:lvl>
  </w:abstractNum>
  <w:abstractNum w:abstractNumId="43">
    <w:nsid w:val="579BE4F1"/>
    <w:multiLevelType w:val="hybridMultilevel"/>
    <w:lvl w:ilvl="0">
      <w:lvlJc w:val="left"/>
      <w:lvlText w:val="%1."/>
      <w:numFmt w:val="decimal"/>
      <w:start w:val="8"/>
    </w:lvl>
  </w:abstractNum>
  <w:abstractNum w:abstractNumId="44">
    <w:nsid w:val="310C50B3"/>
    <w:multiLevelType w:val="hybridMultilevel"/>
    <w:lvl w:ilvl="0">
      <w:lvlJc w:val="left"/>
      <w:lvlText w:val="%1."/>
      <w:numFmt w:val="decimal"/>
      <w:start w:val="8"/>
    </w:lvl>
  </w:abstractNum>
  <w:abstractNum w:abstractNumId="45">
    <w:nsid w:val="5FF87E05"/>
    <w:multiLevelType w:val="hybridMultilevel"/>
    <w:lvl w:ilvl="0">
      <w:lvlJc w:val="left"/>
      <w:lvlText w:val="%1."/>
      <w:numFmt w:val="decimal"/>
      <w:start w:val="10"/>
    </w:lvl>
  </w:abstractNum>
  <w:abstractNum w:abstractNumId="46">
    <w:nsid w:val="2F305DEF"/>
    <w:multiLevelType w:val="hybridMultilevel"/>
    <w:lvl w:ilvl="0">
      <w:lvlJc w:val="left"/>
      <w:lvlText w:val="%1."/>
      <w:numFmt w:val="decimal"/>
      <w:start w:val="11"/>
    </w:lvl>
    <w:lvl w:ilvl="1">
      <w:lvlJc w:val="left"/>
      <w:lvlText w:val="%2)"/>
      <w:numFmt w:val="decimal"/>
      <w:start w:val="1"/>
    </w:lvl>
  </w:abstractNum>
  <w:abstractNum w:abstractNumId="47">
    <w:nsid w:val="25A70BF7"/>
    <w:multiLevelType w:val="hybridMultilevel"/>
    <w:lvl w:ilvl="0">
      <w:lvlJc w:val="left"/>
      <w:lvlText w:val="%1."/>
      <w:numFmt w:val="decimal"/>
      <w:start w:val="11"/>
    </w:lvl>
  </w:abstractNum>
  <w:abstractNum w:abstractNumId="48">
    <w:nsid w:val="1DBABF00"/>
    <w:multiLevelType w:val="hybridMultilevel"/>
    <w:lvl w:ilvl="0">
      <w:lvlJc w:val="left"/>
      <w:lvlText w:val="%1."/>
      <w:numFmt w:val="decimal"/>
      <w:start w:val="11"/>
    </w:lvl>
  </w:abstractNum>
  <w:abstractNum w:abstractNumId="49">
    <w:nsid w:val="4AD084E9"/>
    <w:multiLevelType w:val="hybridMultilevel"/>
    <w:lvl w:ilvl="0">
      <w:lvlJc w:val="left"/>
      <w:lvlText w:val="%1."/>
      <w:numFmt w:val="decimal"/>
      <w:start w:val="12"/>
    </w:lvl>
  </w:abstractNum>
  <w:abstractNum w:abstractNumId="50">
    <w:nsid w:val="1F48EAA1"/>
    <w:multiLevelType w:val="hybridMultilevel"/>
    <w:lvl w:ilvl="0">
      <w:lvlJc w:val="left"/>
      <w:lvlText w:val="%1."/>
      <w:numFmt w:val="decimal"/>
      <w:start w:val="12"/>
    </w:lvl>
  </w:abstractNum>
  <w:abstractNum w:abstractNumId="51">
    <w:nsid w:val="1381823A"/>
    <w:multiLevelType w:val="hybridMultilevel"/>
    <w:lvl w:ilvl="0">
      <w:lvlJc w:val="left"/>
      <w:lvlText w:val="(%1)"/>
      <w:numFmt w:val="decimal"/>
      <w:start w:val="1"/>
    </w:lvl>
  </w:abstractNum>
  <w:abstractNum w:abstractNumId="52">
    <w:nsid w:val="5DB70AE5"/>
    <w:multiLevelType w:val="hybridMultilevel"/>
    <w:lvl w:ilvl="0">
      <w:lvlJc w:val="left"/>
      <w:lvlText w:val="%1."/>
      <w:numFmt w:val="decimal"/>
      <w:start w:val="12"/>
    </w:lvl>
  </w:abstractNum>
  <w:abstractNum w:abstractNumId="53">
    <w:nsid w:val="100F8FCA"/>
    <w:multiLevelType w:val="hybridMultilevel"/>
    <w:lvl w:ilvl="0">
      <w:lvlJc w:val="left"/>
      <w:lvlText w:val="(%1)"/>
      <w:numFmt w:val="decimal"/>
      <w:start w:val="1"/>
    </w:lvl>
  </w:abstractNum>
  <w:abstractNum w:abstractNumId="54">
    <w:nsid w:val="6590700B"/>
    <w:multiLevelType w:val="hybridMultilevel"/>
    <w:lvl w:ilvl="0">
      <w:lvlJc w:val="left"/>
      <w:lvlText w:val="%1."/>
      <w:numFmt w:val="decimal"/>
      <w:start w:val="13"/>
    </w:lvl>
  </w:abstractNum>
  <w:abstractNum w:abstractNumId="55">
    <w:nsid w:val="15014ACB"/>
    <w:multiLevelType w:val="hybridMultilevel"/>
    <w:lvl w:ilvl="0">
      <w:lvlJc w:val="left"/>
      <w:lvlText w:val="%1."/>
      <w:numFmt w:val="decimal"/>
      <w:start w:val="13"/>
    </w:lvl>
  </w:abstractNum>
  <w:abstractNum w:abstractNumId="56">
    <w:nsid w:val="5F5E7FD0"/>
    <w:multiLevelType w:val="hybridMultilevel"/>
    <w:lvl w:ilvl="0">
      <w:lvlJc w:val="left"/>
      <w:lvlText w:val="%1."/>
      <w:numFmt w:val="decimal"/>
      <w:start w:val="13"/>
    </w:lvl>
  </w:abstractNum>
  <w:abstractNum w:abstractNumId="57">
    <w:nsid w:val="98A3148"/>
    <w:multiLevelType w:val="hybridMultilevel"/>
    <w:lvl w:ilvl="0">
      <w:lvlJc w:val="left"/>
      <w:lvlText w:val="(%1)"/>
      <w:numFmt w:val="lowerLetter"/>
      <w:start w:val="2"/>
    </w:lvl>
  </w:abstractNum>
  <w:abstractNum w:abstractNumId="58">
    <w:nsid w:val="799D0247"/>
    <w:multiLevelType w:val="hybridMultilevel"/>
    <w:lvl w:ilvl="0">
      <w:lvlJc w:val="left"/>
      <w:lvlText w:val="(%1)"/>
      <w:numFmt w:val="lowerLetter"/>
      <w:start w:val="2"/>
    </w:lvl>
  </w:abstractNum>
  <w:abstractNum w:abstractNumId="59">
    <w:nsid w:val="6B94764"/>
    <w:multiLevelType w:val="hybridMultilevel"/>
    <w:lvl w:ilvl="0">
      <w:lvlJc w:val="left"/>
      <w:lvlText w:val="%1."/>
      <w:numFmt w:val="decimal"/>
      <w:start w:val="13"/>
    </w:lvl>
  </w:abstractNum>
  <w:abstractNum w:abstractNumId="60">
    <w:nsid w:val="42C296BD"/>
    <w:multiLevelType w:val="hybridMultilevel"/>
    <w:lvl w:ilvl="0">
      <w:lvlJc w:val="left"/>
      <w:lvlText w:val="%1."/>
      <w:numFmt w:val="decimal"/>
      <w:start w:val="13"/>
    </w:lvl>
  </w:abstractNum>
  <w:abstractNum w:abstractNumId="61">
    <w:nsid w:val="168E121F"/>
    <w:multiLevelType w:val="hybridMultilevel"/>
    <w:lvl w:ilvl="0">
      <w:lvlJc w:val="left"/>
      <w:lvlText w:val="(%1)"/>
      <w:numFmt w:val="lowerLetter"/>
      <w:start w:val="2"/>
    </w:lvl>
  </w:abstractNum>
  <w:abstractNum w:abstractNumId="62">
    <w:nsid w:val="1EBA5D23"/>
    <w:multiLevelType w:val="hybridMultilevel"/>
    <w:lvl w:ilvl="0">
      <w:lvlJc w:val="left"/>
      <w:lvlText w:val="(%1)"/>
      <w:numFmt w:val="decimal"/>
      <w:start w:val="1"/>
    </w:lvl>
  </w:abstractNum>
  <w:abstractNum w:abstractNumId="63">
    <w:nsid w:val="661E3F1E"/>
    <w:multiLevelType w:val="hybridMultilevel"/>
    <w:lvl w:ilvl="0">
      <w:lvlJc w:val="left"/>
      <w:lvlText w:val="(%1)"/>
      <w:numFmt w:val="decimal"/>
      <w:start w:val="1"/>
    </w:lvl>
  </w:abstractNum>
  <w:abstractNum w:abstractNumId="64">
    <w:nsid w:val="5DC79EA8"/>
    <w:multiLevelType w:val="hybridMultilevel"/>
    <w:lvl w:ilvl="0">
      <w:lvlJc w:val="left"/>
      <w:lvlText w:val="%1."/>
      <w:numFmt w:val="decimal"/>
      <w:start w:val="14"/>
    </w:lvl>
  </w:abstractNum>
  <w:abstractNum w:abstractNumId="65">
    <w:nsid w:val="540A471C"/>
    <w:multiLevelType w:val="hybridMultilevel"/>
    <w:lvl w:ilvl="0">
      <w:lvlJc w:val="left"/>
      <w:lvlText w:val="%1."/>
      <w:numFmt w:val="decimal"/>
      <w:start w:val="14"/>
    </w:lvl>
  </w:abstractNum>
  <w:abstractNum w:abstractNumId="66">
    <w:nsid w:val="7BD3EE7B"/>
    <w:multiLevelType w:val="hybridMultilevel"/>
    <w:lvl w:ilvl="0">
      <w:lvlJc w:val="left"/>
      <w:lvlText w:val="%1."/>
      <w:numFmt w:val="decimal"/>
      <w:start w:val="15"/>
    </w:lvl>
  </w:abstractNum>
  <w:abstractNum w:abstractNumId="67">
    <w:nsid w:val="51D9C564"/>
    <w:multiLevelType w:val="hybridMultilevel"/>
    <w:lvl w:ilvl="0">
      <w:lvlJc w:val="left"/>
      <w:lvlText w:val="%1."/>
      <w:numFmt w:val="decimal"/>
      <w:start w:val="16"/>
    </w:lvl>
  </w:abstractNum>
  <w:abstractNum w:abstractNumId="68">
    <w:nsid w:val="613EFDC5"/>
    <w:multiLevelType w:val="hybridMultilevel"/>
    <w:lvl w:ilvl="0">
      <w:lvlJc w:val="left"/>
      <w:lvlText w:val="%1."/>
      <w:numFmt w:val="decimal"/>
      <w:start w:val="17"/>
    </w:lvl>
  </w:abstractNum>
  <w:abstractNum w:abstractNumId="69">
    <w:nsid w:val="BF72B14"/>
    <w:multiLevelType w:val="hybridMultilevel"/>
    <w:lvl w:ilvl="0">
      <w:lvlJc w:val="left"/>
      <w:lvlText w:val="%1."/>
      <w:numFmt w:val="decimal"/>
      <w:start w:val="17"/>
    </w:lvl>
  </w:abstractNum>
  <w:abstractNum w:abstractNumId="70">
    <w:nsid w:val="11447B73"/>
    <w:multiLevelType w:val="hybridMultilevel"/>
    <w:lvl w:ilvl="0">
      <w:lvlJc w:val="left"/>
      <w:lvlText w:val="%1."/>
      <w:numFmt w:val="decimal"/>
      <w:start w:val="17"/>
    </w:lvl>
  </w:abstractNum>
  <w:abstractNum w:abstractNumId="71">
    <w:nsid w:val="42963E5A"/>
    <w:multiLevelType w:val="hybridMultilevel"/>
    <w:lvl w:ilvl="0">
      <w:lvlJc w:val="left"/>
      <w:lvlText w:val="-"/>
      <w:numFmt w:val="bullet"/>
      <w:start w:val="1"/>
    </w:lvl>
  </w:abstractNum>
  <w:abstractNum w:abstractNumId="72">
    <w:nsid w:val="A0382C5"/>
    <w:multiLevelType w:val="hybridMultilevel"/>
    <w:lvl w:ilvl="0">
      <w:lvlJc w:val="left"/>
      <w:lvlText w:val="-"/>
      <w:numFmt w:val="bullet"/>
      <w:start w:val="1"/>
    </w:lvl>
  </w:abstractNum>
  <w:abstractNum w:abstractNumId="73">
    <w:nsid w:val="8F2B15E"/>
    <w:multiLevelType w:val="hybridMultilevel"/>
    <w:lvl w:ilvl="0">
      <w:lvlJc w:val="left"/>
      <w:lvlText w:val="%1."/>
      <w:numFmt w:val="decimal"/>
      <w:start w:val="17"/>
    </w:lvl>
  </w:abstractNum>
  <w:abstractNum w:abstractNumId="74">
    <w:nsid w:val="1A32234B"/>
    <w:multiLevelType w:val="hybridMultilevel"/>
    <w:lvl w:ilvl="0">
      <w:lvlJc w:val="left"/>
      <w:lvlText w:val="%1."/>
      <w:numFmt w:val="decimal"/>
      <w:start w:val="17"/>
    </w:lvl>
  </w:abstractNum>
  <w:abstractNum w:abstractNumId="75">
    <w:nsid w:val="3B0FD379"/>
    <w:multiLevelType w:val="hybridMultilevel"/>
    <w:lvl w:ilvl="0">
      <w:lvlJc w:val="left"/>
      <w:lvlText w:val="%1."/>
      <w:numFmt w:val="decimal"/>
      <w:start w:val="17"/>
    </w:lvl>
  </w:abstractNum>
  <w:abstractNum w:abstractNumId="76">
    <w:nsid w:val="68EB2F63"/>
    <w:multiLevelType w:val="hybridMultilevel"/>
    <w:lvl w:ilvl="0">
      <w:lvlJc w:val="left"/>
      <w:lvlText w:val="%1."/>
      <w:numFmt w:val="decimal"/>
      <w:start w:val="17"/>
    </w:lvl>
  </w:abstractNum>
  <w:abstractNum w:abstractNumId="77">
    <w:nsid w:val="4962813B"/>
    <w:multiLevelType w:val="hybridMultilevel"/>
    <w:lvl w:ilvl="0">
      <w:lvlJc w:val="left"/>
      <w:lvlText w:val="%1."/>
      <w:numFmt w:val="decimal"/>
      <w:start w:val="17"/>
    </w:lvl>
  </w:abstractNum>
  <w:abstractNum w:abstractNumId="78">
    <w:nsid w:val="60B6DF70"/>
    <w:multiLevelType w:val="hybridMultilevel"/>
    <w:lvl w:ilvl="0">
      <w:lvlJc w:val="left"/>
      <w:lvlText w:val="(%1)"/>
      <w:numFmt w:val="decimal"/>
      <w:start w:val="1"/>
    </w:lvl>
  </w:abstractNum>
  <w:abstractNum w:abstractNumId="79">
    <w:nsid w:val="6A5EE64"/>
    <w:multiLevelType w:val="hybridMultilevel"/>
    <w:lvl w:ilvl="0">
      <w:lvlJc w:val="left"/>
      <w:lvlText w:val="%1."/>
      <w:numFmt w:val="decimal"/>
      <w:start w:val="17"/>
    </w:lvl>
  </w:abstractNum>
  <w:abstractNum w:abstractNumId="80">
    <w:nsid w:val="14330624"/>
    <w:multiLevelType w:val="hybridMultilevel"/>
    <w:lvl w:ilvl="0">
      <w:lvlJc w:val="left"/>
      <w:lvlText w:val="(%1)"/>
      <w:numFmt w:val="decimal"/>
      <w:start w:val="1"/>
    </w:lvl>
  </w:abstractNum>
  <w:abstractNum w:abstractNumId="81">
    <w:nsid w:val="7FFFCA11"/>
    <w:multiLevelType w:val="hybridMultilevel"/>
    <w:lvl w:ilvl="0">
      <w:lvlJc w:val="left"/>
      <w:lvlText w:val="%1."/>
      <w:numFmt w:val="decimal"/>
      <w:start w:val="17"/>
    </w:lvl>
  </w:abstractNum>
  <w:abstractNum w:abstractNumId="82">
    <w:nsid w:val="1A27709E"/>
    <w:multiLevelType w:val="hybridMultilevel"/>
    <w:lvl w:ilvl="0">
      <w:lvlJc w:val="left"/>
      <w:lvlText w:val="%1."/>
      <w:numFmt w:val="decimal"/>
      <w:start w:val="1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2020-01-21T15:50:40Z</dcterms:created>
  <dcterms:modified xsi:type="dcterms:W3CDTF">2020-01-21T15:50:40Z</dcterms:modified>
</cp:coreProperties>
</file>